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93F31">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val="en-US" w:eastAsia="zh-CN"/>
        </w:rPr>
        <w:t>2026年黄梅县校园食堂米面油集采集配项目</w:t>
      </w:r>
      <w:r>
        <w:rPr>
          <w:rFonts w:hint="eastAsia" w:ascii="宋体" w:hAnsi="宋体" w:eastAsia="宋体" w:cs="宋体"/>
          <w:b/>
          <w:bCs/>
          <w:sz w:val="32"/>
          <w:szCs w:val="32"/>
          <w:lang w:eastAsia="zh-CN"/>
        </w:rPr>
        <w:t>采购需求</w:t>
      </w:r>
    </w:p>
    <w:p w14:paraId="3EFB5846">
      <w:pPr>
        <w:pageBreakBefore w:val="0"/>
        <w:kinsoku/>
        <w:wordWrap w:val="0"/>
        <w:overflowPunct/>
        <w:topLinePunct w:val="0"/>
        <w:autoSpaceDE/>
        <w:autoSpaceDN/>
        <w:bidi w:val="0"/>
        <w:adjustRightInd/>
        <w:snapToGrid/>
        <w:spacing w:after="0" w:line="360" w:lineRule="auto"/>
        <w:ind w:left="0" w:leftChars="0" w:right="0" w:firstLine="482" w:firstLineChars="200"/>
        <w:jc w:val="both"/>
        <w:textAlignment w:val="baseline"/>
        <w:rPr>
          <w:rFonts w:hint="eastAsia" w:ascii="宋体" w:hAnsi="宋体" w:eastAsia="宋体" w:cs="宋体"/>
          <w:b/>
          <w:bCs/>
          <w:iCs/>
          <w:snapToGrid w:val="0"/>
          <w:kern w:val="2"/>
          <w:sz w:val="24"/>
          <w:szCs w:val="24"/>
          <w:shd w:val="clear" w:color="auto" w:fill="FFFFFF" w:themeFill="background1"/>
          <w:lang w:val="hr-HR" w:eastAsia="zh-CN" w:bidi="ar-SA"/>
        </w:rPr>
      </w:pPr>
      <w:bookmarkStart w:id="0" w:name="_Toc28359012"/>
      <w:bookmarkStart w:id="1" w:name="_Toc109900248"/>
      <w:bookmarkStart w:id="2" w:name="_Toc44583628"/>
      <w:bookmarkStart w:id="3" w:name="_Toc140132745"/>
      <w:bookmarkStart w:id="4" w:name="_Toc155185860"/>
      <w:bookmarkStart w:id="5" w:name="_Toc163492812"/>
      <w:bookmarkStart w:id="6" w:name="_Toc35393798"/>
      <w:bookmarkStart w:id="7" w:name="_Toc109899829"/>
      <w:bookmarkStart w:id="8" w:name="_Toc28359089"/>
      <w:bookmarkStart w:id="9" w:name="_Toc35393629"/>
      <w:bookmarkStart w:id="10" w:name="_Toc109899410"/>
      <w:r>
        <w:rPr>
          <w:rFonts w:hint="eastAsia" w:ascii="宋体" w:hAnsi="宋体" w:eastAsia="宋体" w:cs="宋体"/>
          <w:b/>
          <w:bCs/>
          <w:iCs/>
          <w:snapToGrid w:val="0"/>
          <w:kern w:val="2"/>
          <w:sz w:val="24"/>
          <w:szCs w:val="24"/>
          <w:shd w:val="clear" w:color="auto" w:fill="FFFFFF" w:themeFill="background1"/>
          <w:lang w:val="hr-HR" w:eastAsia="zh-CN" w:bidi="ar-SA"/>
        </w:rPr>
        <w:t>一、项目基本情况</w:t>
      </w:r>
      <w:bookmarkEnd w:id="0"/>
      <w:bookmarkEnd w:id="1"/>
      <w:bookmarkEnd w:id="2"/>
      <w:bookmarkEnd w:id="3"/>
      <w:bookmarkEnd w:id="4"/>
      <w:bookmarkEnd w:id="5"/>
      <w:bookmarkEnd w:id="6"/>
      <w:bookmarkEnd w:id="7"/>
      <w:bookmarkEnd w:id="8"/>
      <w:bookmarkEnd w:id="9"/>
      <w:bookmarkEnd w:id="10"/>
    </w:p>
    <w:p w14:paraId="31464693">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bookmarkStart w:id="11" w:name="_Toc35393799"/>
      <w:bookmarkStart w:id="12" w:name="_Toc109899411"/>
      <w:bookmarkStart w:id="13" w:name="_Toc140132746"/>
      <w:bookmarkStart w:id="14" w:name="_Toc163492813"/>
      <w:bookmarkStart w:id="15" w:name="_Toc109900249"/>
      <w:bookmarkStart w:id="16" w:name="_Toc28359090"/>
      <w:bookmarkStart w:id="17" w:name="_Toc155185861"/>
      <w:bookmarkStart w:id="18" w:name="_Toc44583629"/>
      <w:bookmarkStart w:id="19" w:name="_Toc35393630"/>
      <w:bookmarkStart w:id="20" w:name="_Toc28359013"/>
      <w:bookmarkStart w:id="21" w:name="_Toc109899830"/>
      <w:r>
        <w:rPr>
          <w:rFonts w:hint="eastAsia" w:ascii="宋体" w:hAnsi="宋体" w:eastAsia="宋体" w:cs="宋体"/>
          <w:iCs/>
          <w:snapToGrid w:val="0"/>
          <w:kern w:val="2"/>
          <w:sz w:val="24"/>
          <w:szCs w:val="24"/>
          <w:shd w:val="clear" w:color="auto" w:fill="FFFFFF" w:themeFill="background1"/>
          <w:lang w:val="hr-HR" w:eastAsia="zh-CN" w:bidi="ar-SA"/>
        </w:rPr>
        <w:t>1.采购计划备案号：421127-2026-00277。</w:t>
      </w:r>
    </w:p>
    <w:p w14:paraId="4AA5FF2A">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hr-HR" w:eastAsia="zh-CN" w:bidi="ar-SA"/>
        </w:rPr>
        <w:t xml:space="preserve">2.项目编号：E4201000184059881001。            </w:t>
      </w:r>
    </w:p>
    <w:p w14:paraId="02E689E8">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hr-HR" w:eastAsia="zh-CN" w:bidi="ar-SA"/>
        </w:rPr>
        <w:t>3.项目名称：2026年黄梅县校园食堂米面油集采集配项目</w:t>
      </w:r>
      <w:r>
        <w:rPr>
          <w:rFonts w:hint="eastAsia" w:ascii="宋体" w:hAnsi="宋体" w:eastAsia="宋体" w:cs="宋体"/>
          <w:iCs/>
          <w:snapToGrid w:val="0"/>
          <w:kern w:val="2"/>
          <w:sz w:val="24"/>
          <w:szCs w:val="24"/>
          <w:shd w:val="clear" w:color="auto" w:fill="FFFFFF" w:themeFill="background1"/>
          <w:lang w:val="en-US" w:eastAsia="zh-CN" w:bidi="ar-SA"/>
        </w:rPr>
        <w:t>。</w:t>
      </w:r>
      <w:r>
        <w:rPr>
          <w:rFonts w:hint="eastAsia" w:ascii="宋体" w:hAnsi="宋体" w:eastAsia="宋体" w:cs="宋体"/>
          <w:iCs/>
          <w:snapToGrid w:val="0"/>
          <w:kern w:val="2"/>
          <w:sz w:val="24"/>
          <w:szCs w:val="24"/>
          <w:shd w:val="clear" w:color="auto" w:fill="FFFFFF" w:themeFill="background1"/>
          <w:lang w:val="hr-HR" w:eastAsia="zh-CN" w:bidi="ar-SA"/>
        </w:rPr>
        <w:t xml:space="preserve">   </w:t>
      </w:r>
    </w:p>
    <w:p w14:paraId="150D0AB0">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hr-HR" w:eastAsia="zh-CN" w:bidi="ar-SA"/>
        </w:rPr>
        <w:t>4.采购方式：</w:t>
      </w:r>
      <w:r>
        <w:rPr>
          <w:rFonts w:hint="eastAsia" w:ascii="宋体" w:hAnsi="宋体" w:eastAsia="宋体" w:cs="宋体"/>
          <w:iCs/>
          <w:snapToGrid w:val="0"/>
          <w:kern w:val="2"/>
          <w:sz w:val="24"/>
          <w:szCs w:val="24"/>
          <w:shd w:val="clear" w:color="auto" w:fill="FFFFFF" w:themeFill="background1"/>
          <w:lang w:val="en-US" w:eastAsia="zh-CN" w:bidi="ar-SA"/>
        </w:rPr>
        <w:t>公开招标</w:t>
      </w:r>
      <w:r>
        <w:rPr>
          <w:rFonts w:hint="eastAsia" w:ascii="宋体" w:hAnsi="宋体" w:eastAsia="宋体" w:cs="宋体"/>
          <w:iCs/>
          <w:snapToGrid w:val="0"/>
          <w:kern w:val="2"/>
          <w:sz w:val="24"/>
          <w:szCs w:val="24"/>
          <w:shd w:val="clear" w:color="auto" w:fill="FFFFFF" w:themeFill="background1"/>
          <w:lang w:val="hr-HR" w:eastAsia="zh-CN" w:bidi="ar-SA"/>
        </w:rPr>
        <w:t>。</w:t>
      </w:r>
    </w:p>
    <w:p w14:paraId="1A738C8E">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en-US" w:eastAsia="zh-CN" w:bidi="ar-SA"/>
        </w:rPr>
      </w:pPr>
      <w:r>
        <w:rPr>
          <w:rFonts w:hint="eastAsia" w:ascii="宋体" w:hAnsi="宋体" w:eastAsia="宋体" w:cs="宋体"/>
          <w:iCs/>
          <w:snapToGrid w:val="0"/>
          <w:kern w:val="2"/>
          <w:sz w:val="24"/>
          <w:szCs w:val="24"/>
          <w:shd w:val="clear" w:color="auto" w:fill="FFFFFF" w:themeFill="background1"/>
          <w:lang w:val="hr-HR" w:eastAsia="zh-CN" w:bidi="ar-SA"/>
        </w:rPr>
        <w:t>5.预算金额：</w:t>
      </w:r>
      <w:r>
        <w:rPr>
          <w:rFonts w:hint="eastAsia" w:ascii="宋体" w:hAnsi="宋体" w:eastAsia="宋体" w:cs="宋体"/>
          <w:iCs/>
          <w:snapToGrid w:val="0"/>
          <w:kern w:val="2"/>
          <w:sz w:val="24"/>
          <w:szCs w:val="24"/>
          <w:shd w:val="clear" w:color="auto" w:fill="FFFFFF" w:themeFill="background1"/>
          <w:lang w:val="en-US" w:eastAsia="zh-CN" w:bidi="ar-SA"/>
        </w:rPr>
        <w:t xml:space="preserve">0元。 </w:t>
      </w:r>
    </w:p>
    <w:p w14:paraId="2CF5550C">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en-US" w:eastAsia="zh-CN" w:bidi="ar-SA"/>
        </w:rPr>
        <w:t>6</w:t>
      </w:r>
      <w:r>
        <w:rPr>
          <w:rFonts w:hint="eastAsia" w:ascii="宋体" w:hAnsi="宋体" w:eastAsia="宋体" w:cs="宋体"/>
          <w:iCs/>
          <w:snapToGrid w:val="0"/>
          <w:kern w:val="2"/>
          <w:sz w:val="24"/>
          <w:szCs w:val="24"/>
          <w:shd w:val="clear" w:color="auto" w:fill="FFFFFF" w:themeFill="background1"/>
          <w:lang w:val="hr-HR" w:eastAsia="zh-CN" w:bidi="ar-SA"/>
        </w:rPr>
        <w:t>.采购需求：全县所有公办学校及幼儿园、民办学校（以下统称“各校园”）</w:t>
      </w:r>
      <w:r>
        <w:rPr>
          <w:rFonts w:hint="eastAsia" w:ascii="宋体" w:hAnsi="宋体" w:eastAsia="宋体" w:cs="宋体"/>
          <w:iCs/>
          <w:snapToGrid w:val="0"/>
          <w:kern w:val="2"/>
          <w:sz w:val="24"/>
          <w:szCs w:val="24"/>
          <w:shd w:val="clear" w:color="auto" w:fill="FFFFFF" w:themeFill="background1"/>
          <w:lang w:val="en-US" w:eastAsia="zh-CN" w:bidi="ar-SA"/>
        </w:rPr>
        <w:t>食堂</w:t>
      </w:r>
      <w:r>
        <w:rPr>
          <w:rFonts w:hint="eastAsia" w:ascii="宋体" w:hAnsi="宋体" w:eastAsia="宋体" w:cs="宋体"/>
          <w:iCs/>
          <w:snapToGrid w:val="0"/>
          <w:kern w:val="2"/>
          <w:sz w:val="24"/>
          <w:szCs w:val="24"/>
          <w:shd w:val="clear" w:color="auto" w:fill="FFFFFF" w:themeFill="background1"/>
          <w:lang w:val="hr-HR" w:eastAsia="zh-CN" w:bidi="ar-SA"/>
        </w:rPr>
        <w:t>的大米、面粉、食用油的采购、储存、配送及相关服务。具体品类、规格及质量标准</w:t>
      </w:r>
      <w:r>
        <w:rPr>
          <w:rFonts w:hint="eastAsia" w:ascii="宋体" w:hAnsi="宋体" w:eastAsia="宋体" w:cs="宋体"/>
          <w:iCs/>
          <w:snapToGrid w:val="0"/>
          <w:kern w:val="2"/>
          <w:sz w:val="24"/>
          <w:szCs w:val="24"/>
          <w:shd w:val="clear" w:color="auto" w:fill="FFFFFF" w:themeFill="background1"/>
          <w:lang w:val="en-US" w:eastAsia="zh-CN" w:bidi="ar-SA"/>
        </w:rPr>
        <w:t>等</w:t>
      </w:r>
      <w:r>
        <w:rPr>
          <w:rFonts w:hint="eastAsia" w:ascii="宋体" w:hAnsi="宋体" w:eastAsia="宋体" w:cs="宋体"/>
          <w:iCs/>
          <w:snapToGrid w:val="0"/>
          <w:kern w:val="2"/>
          <w:sz w:val="24"/>
          <w:szCs w:val="24"/>
          <w:shd w:val="clear" w:color="auto" w:fill="FFFFFF" w:themeFill="background1"/>
          <w:lang w:val="hr-HR" w:eastAsia="zh-CN" w:bidi="ar-SA"/>
        </w:rPr>
        <w:t>详见</w:t>
      </w:r>
      <w:r>
        <w:rPr>
          <w:rFonts w:hint="eastAsia" w:ascii="宋体" w:hAnsi="宋体" w:eastAsia="宋体" w:cs="宋体"/>
          <w:iCs/>
          <w:snapToGrid w:val="0"/>
          <w:kern w:val="2"/>
          <w:sz w:val="24"/>
          <w:szCs w:val="24"/>
          <w:shd w:val="clear" w:color="auto" w:fill="FFFFFF" w:themeFill="background1"/>
          <w:lang w:val="en-US" w:eastAsia="zh-CN" w:bidi="ar-SA"/>
        </w:rPr>
        <w:t>公开招标</w:t>
      </w:r>
      <w:r>
        <w:rPr>
          <w:rFonts w:hint="eastAsia" w:ascii="宋体" w:hAnsi="宋体" w:eastAsia="宋体" w:cs="宋体"/>
          <w:iCs/>
          <w:snapToGrid w:val="0"/>
          <w:kern w:val="2"/>
          <w:sz w:val="24"/>
          <w:szCs w:val="24"/>
          <w:shd w:val="clear" w:color="auto" w:fill="FFFFFF" w:themeFill="background1"/>
          <w:lang w:val="hr-HR" w:eastAsia="zh-CN" w:bidi="ar-SA"/>
        </w:rPr>
        <w:t>文件第三章“采购需求”。</w:t>
      </w:r>
    </w:p>
    <w:p w14:paraId="27E9F782">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en-US" w:eastAsia="zh-CN" w:bidi="ar-SA"/>
        </w:rPr>
        <w:t>7</w:t>
      </w:r>
      <w:r>
        <w:rPr>
          <w:rFonts w:hint="eastAsia" w:ascii="宋体" w:hAnsi="宋体" w:eastAsia="宋体" w:cs="宋体"/>
          <w:iCs/>
          <w:snapToGrid w:val="0"/>
          <w:kern w:val="2"/>
          <w:sz w:val="24"/>
          <w:szCs w:val="24"/>
          <w:shd w:val="clear" w:color="auto" w:fill="FFFFFF" w:themeFill="background1"/>
          <w:lang w:val="hr-HR" w:eastAsia="zh-CN" w:bidi="ar-SA"/>
        </w:rPr>
        <w:t>.合同履行期限：</w:t>
      </w:r>
      <w:r>
        <w:rPr>
          <w:rFonts w:hint="eastAsia" w:ascii="宋体" w:hAnsi="宋体" w:eastAsia="宋体" w:cs="宋体"/>
          <w:iCs/>
          <w:snapToGrid w:val="0"/>
          <w:kern w:val="2"/>
          <w:sz w:val="24"/>
          <w:szCs w:val="24"/>
          <w:shd w:val="clear" w:color="auto" w:fill="FFFFFF" w:themeFill="background1"/>
          <w:lang w:val="en-US" w:eastAsia="zh-CN" w:bidi="ar-SA"/>
        </w:rPr>
        <w:t>服务期一年（2026年9月1日至2027年8月31日）。最终供货时间以签订合同为准</w:t>
      </w:r>
      <w:r>
        <w:rPr>
          <w:rFonts w:hint="eastAsia" w:ascii="宋体" w:hAnsi="宋体" w:eastAsia="宋体" w:cs="宋体"/>
          <w:iCs/>
          <w:snapToGrid w:val="0"/>
          <w:kern w:val="2"/>
          <w:sz w:val="24"/>
          <w:szCs w:val="24"/>
          <w:shd w:val="clear" w:color="auto" w:fill="FFFFFF" w:themeFill="background1"/>
          <w:lang w:val="hr-HR" w:eastAsia="zh-CN" w:bidi="ar-SA"/>
        </w:rPr>
        <w:t>。</w:t>
      </w:r>
    </w:p>
    <w:p w14:paraId="20379212">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en-US" w:eastAsia="zh-CN" w:bidi="ar-SA"/>
        </w:rPr>
        <w:t>8</w:t>
      </w:r>
      <w:r>
        <w:rPr>
          <w:rFonts w:hint="eastAsia" w:ascii="宋体" w:hAnsi="宋体" w:eastAsia="宋体" w:cs="宋体"/>
          <w:iCs/>
          <w:snapToGrid w:val="0"/>
          <w:kern w:val="2"/>
          <w:sz w:val="24"/>
          <w:szCs w:val="24"/>
          <w:shd w:val="clear" w:color="auto" w:fill="FFFFFF" w:themeFill="background1"/>
          <w:lang w:val="hr-HR" w:eastAsia="zh-CN" w:bidi="ar-SA"/>
        </w:rPr>
        <w:t>.本项目（是/否）接受联合体：</w:t>
      </w:r>
      <w:r>
        <w:rPr>
          <w:rFonts w:hint="eastAsia" w:ascii="宋体" w:hAnsi="宋体" w:eastAsia="宋体" w:cs="宋体"/>
          <w:iCs/>
          <w:snapToGrid w:val="0"/>
          <w:kern w:val="2"/>
          <w:sz w:val="24"/>
          <w:szCs w:val="24"/>
          <w:shd w:val="clear" w:color="auto" w:fill="FFFFFF" w:themeFill="background1"/>
          <w:lang w:val="en-US" w:eastAsia="zh-CN" w:bidi="ar-SA"/>
        </w:rPr>
        <w:t>是</w:t>
      </w:r>
      <w:r>
        <w:rPr>
          <w:rFonts w:hint="eastAsia" w:ascii="宋体" w:hAnsi="宋体" w:eastAsia="宋体" w:cs="宋体"/>
          <w:iCs/>
          <w:snapToGrid w:val="0"/>
          <w:kern w:val="2"/>
          <w:sz w:val="24"/>
          <w:szCs w:val="24"/>
          <w:shd w:val="clear" w:color="auto" w:fill="FFFFFF" w:themeFill="background1"/>
          <w:lang w:val="hr-HR" w:eastAsia="zh-CN" w:bidi="ar-SA"/>
        </w:rPr>
        <w:t>。</w:t>
      </w:r>
    </w:p>
    <w:p w14:paraId="05D3054A">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en-US" w:eastAsia="zh-CN" w:bidi="ar-SA"/>
        </w:rPr>
        <w:t>9</w:t>
      </w:r>
      <w:r>
        <w:rPr>
          <w:rFonts w:hint="eastAsia" w:ascii="宋体" w:hAnsi="宋体" w:eastAsia="宋体" w:cs="宋体"/>
          <w:iCs/>
          <w:snapToGrid w:val="0"/>
          <w:kern w:val="2"/>
          <w:sz w:val="24"/>
          <w:szCs w:val="24"/>
          <w:shd w:val="clear" w:color="auto" w:fill="FFFFFF" w:themeFill="background1"/>
          <w:lang w:val="hr-HR" w:eastAsia="zh-CN" w:bidi="ar-SA"/>
        </w:rPr>
        <w:t>.是否可采购进口产品：否。</w:t>
      </w:r>
    </w:p>
    <w:p w14:paraId="0A558D09">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hr-HR" w:eastAsia="zh-CN" w:bidi="ar-SA"/>
        </w:rPr>
        <w:t>1</w:t>
      </w:r>
      <w:r>
        <w:rPr>
          <w:rFonts w:hint="eastAsia" w:ascii="宋体" w:hAnsi="宋体" w:eastAsia="宋体" w:cs="宋体"/>
          <w:iCs/>
          <w:snapToGrid w:val="0"/>
          <w:kern w:val="2"/>
          <w:sz w:val="24"/>
          <w:szCs w:val="24"/>
          <w:shd w:val="clear" w:color="auto" w:fill="FFFFFF" w:themeFill="background1"/>
          <w:lang w:val="en-US" w:eastAsia="zh-CN" w:bidi="ar-SA"/>
        </w:rPr>
        <w:t>0</w:t>
      </w:r>
      <w:r>
        <w:rPr>
          <w:rFonts w:hint="eastAsia" w:ascii="宋体" w:hAnsi="宋体" w:eastAsia="宋体" w:cs="宋体"/>
          <w:iCs/>
          <w:snapToGrid w:val="0"/>
          <w:kern w:val="2"/>
          <w:sz w:val="24"/>
          <w:szCs w:val="24"/>
          <w:shd w:val="clear" w:color="auto" w:fill="FFFFFF" w:themeFill="background1"/>
          <w:lang w:val="hr-HR" w:eastAsia="zh-CN" w:bidi="ar-SA"/>
        </w:rPr>
        <w:t>.本项目（是/否）接受合同分包：否。</w:t>
      </w:r>
    </w:p>
    <w:p w14:paraId="249A7B5A">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hr-HR" w:eastAsia="zh-CN" w:bidi="ar-SA"/>
        </w:rPr>
        <w:t>1</w:t>
      </w:r>
      <w:r>
        <w:rPr>
          <w:rFonts w:hint="eastAsia" w:ascii="宋体" w:hAnsi="宋体" w:eastAsia="宋体" w:cs="宋体"/>
          <w:iCs/>
          <w:snapToGrid w:val="0"/>
          <w:kern w:val="2"/>
          <w:sz w:val="24"/>
          <w:szCs w:val="24"/>
          <w:shd w:val="clear" w:color="auto" w:fill="FFFFFF" w:themeFill="background1"/>
          <w:lang w:val="en-US" w:eastAsia="zh-CN" w:bidi="ar-SA"/>
        </w:rPr>
        <w:t>1</w:t>
      </w:r>
      <w:r>
        <w:rPr>
          <w:rFonts w:hint="eastAsia" w:ascii="宋体" w:hAnsi="宋体" w:eastAsia="宋体" w:cs="宋体"/>
          <w:iCs/>
          <w:snapToGrid w:val="0"/>
          <w:kern w:val="2"/>
          <w:sz w:val="24"/>
          <w:szCs w:val="24"/>
          <w:shd w:val="clear" w:color="auto" w:fill="FFFFFF" w:themeFill="background1"/>
          <w:lang w:val="hr-HR" w:eastAsia="zh-CN" w:bidi="ar-SA"/>
        </w:rPr>
        <w:t>.本项目（是/否）专门面向中小微企业：是。</w:t>
      </w:r>
    </w:p>
    <w:p w14:paraId="34FC0A61">
      <w:pPr>
        <w:pageBreakBefore w:val="0"/>
        <w:kinsoku/>
        <w:wordWrap w:val="0"/>
        <w:overflowPunct/>
        <w:topLinePunct w:val="0"/>
        <w:autoSpaceDE/>
        <w:autoSpaceDN/>
        <w:bidi w:val="0"/>
        <w:adjustRightInd/>
        <w:snapToGrid/>
        <w:spacing w:after="0" w:line="360" w:lineRule="auto"/>
        <w:ind w:left="0" w:leftChars="0" w:right="0" w:firstLine="482" w:firstLineChars="200"/>
        <w:jc w:val="both"/>
        <w:textAlignment w:val="baseline"/>
        <w:rPr>
          <w:rFonts w:hint="eastAsia" w:ascii="宋体" w:hAnsi="宋体" w:eastAsia="宋体" w:cs="宋体"/>
          <w:b/>
          <w:bCs/>
          <w:iCs/>
          <w:snapToGrid w:val="0"/>
          <w:kern w:val="2"/>
          <w:sz w:val="24"/>
          <w:szCs w:val="24"/>
          <w:shd w:val="clear" w:color="auto" w:fill="FFFFFF" w:themeFill="background1"/>
          <w:lang w:val="hr-HR" w:eastAsia="zh-CN" w:bidi="ar-SA"/>
        </w:rPr>
      </w:pPr>
      <w:r>
        <w:rPr>
          <w:rFonts w:hint="eastAsia" w:ascii="宋体" w:hAnsi="宋体" w:eastAsia="宋体" w:cs="宋体"/>
          <w:b/>
          <w:bCs/>
          <w:iCs/>
          <w:snapToGrid w:val="0"/>
          <w:kern w:val="2"/>
          <w:sz w:val="24"/>
          <w:szCs w:val="24"/>
          <w:shd w:val="clear" w:color="auto" w:fill="FFFFFF" w:themeFill="background1"/>
          <w:lang w:val="en-US" w:eastAsia="zh-CN" w:bidi="ar-SA"/>
        </w:rPr>
        <w:t>二、投标</w:t>
      </w:r>
      <w:r>
        <w:rPr>
          <w:rFonts w:hint="eastAsia" w:ascii="宋体" w:hAnsi="宋体" w:eastAsia="宋体" w:cs="宋体"/>
          <w:b/>
          <w:bCs/>
          <w:iCs/>
          <w:snapToGrid w:val="0"/>
          <w:kern w:val="2"/>
          <w:sz w:val="24"/>
          <w:szCs w:val="24"/>
          <w:shd w:val="clear" w:color="auto" w:fill="FFFFFF" w:themeFill="background1"/>
          <w:lang w:val="hr-HR" w:eastAsia="zh-CN" w:bidi="ar-SA"/>
        </w:rPr>
        <w:t>人资格要求</w:t>
      </w:r>
      <w:bookmarkEnd w:id="11"/>
      <w:bookmarkEnd w:id="12"/>
      <w:bookmarkEnd w:id="13"/>
      <w:bookmarkEnd w:id="14"/>
      <w:bookmarkEnd w:id="15"/>
      <w:bookmarkEnd w:id="16"/>
      <w:bookmarkEnd w:id="17"/>
      <w:bookmarkEnd w:id="18"/>
      <w:bookmarkEnd w:id="19"/>
      <w:bookmarkEnd w:id="20"/>
      <w:bookmarkEnd w:id="21"/>
    </w:p>
    <w:p w14:paraId="2CF4C0D3">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hr-HR" w:eastAsia="zh-CN" w:bidi="ar-SA"/>
        </w:rPr>
        <w:t>1、满足《中华人民共和国政府采购法》第二十二条规定，即：</w:t>
      </w:r>
    </w:p>
    <w:p w14:paraId="332AE8D6">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hr-HR" w:eastAsia="zh-CN" w:bidi="ar-SA"/>
        </w:rPr>
        <w:t>（1）具有独立承担民事责任的能力；</w:t>
      </w:r>
    </w:p>
    <w:p w14:paraId="47E9AB7C">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hr-HR" w:eastAsia="zh-CN" w:bidi="ar-SA"/>
        </w:rPr>
        <w:t>（2）具有良好的商业信誉和健全的财务会计制度；</w:t>
      </w:r>
    </w:p>
    <w:p w14:paraId="46F28604">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hr-HR" w:eastAsia="zh-CN" w:bidi="ar-SA"/>
        </w:rPr>
        <w:t>（3）具有履行合同所必需的设备和专业技术能力；</w:t>
      </w:r>
    </w:p>
    <w:p w14:paraId="2D6C7A7B">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hr-HR" w:eastAsia="zh-CN" w:bidi="ar-SA"/>
        </w:rPr>
        <w:t>（4）有依法缴纳税收和社会保障资金的良好记录；</w:t>
      </w:r>
    </w:p>
    <w:p w14:paraId="7537C73A">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hr-HR" w:eastAsia="zh-CN" w:bidi="ar-SA"/>
        </w:rPr>
        <w:t>（5）参加政府采购活动前三年内，在经营活动中没有重大违法记录；</w:t>
      </w:r>
    </w:p>
    <w:p w14:paraId="0F014186">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hr-HR" w:eastAsia="zh-CN" w:bidi="ar-SA"/>
        </w:rPr>
        <w:t>（6）法律、行政法规规定的其他条件。</w:t>
      </w:r>
    </w:p>
    <w:p w14:paraId="3D6B0304">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hr-HR" w:eastAsia="zh-CN" w:bidi="ar-SA"/>
        </w:rPr>
        <w:t>2、单位负责人为同一人或者存在直接控股、管理关系的不同人，不得参加本项目同一合同项下的政府采购活动。</w:t>
      </w:r>
    </w:p>
    <w:p w14:paraId="2A55B088">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hr-HR" w:eastAsia="zh-CN" w:bidi="ar-SA"/>
        </w:rPr>
        <w:t>3、为本采购项目提供整体设计、规范编制或者项目管理、监理、检测等服务的，不得再参加本项目的其他招标采购活动。</w:t>
      </w:r>
    </w:p>
    <w:p w14:paraId="0945B5F8">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hr-HR" w:eastAsia="zh-CN" w:bidi="ar-SA"/>
        </w:rPr>
        <w:t>4、未被列入失信被执行人、重大税收违法失信主体，未被列入政府采购严重违法失信行为记录名单。</w:t>
      </w:r>
    </w:p>
    <w:p w14:paraId="630B949D">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hr-HR" w:eastAsia="zh-CN" w:bidi="ar-SA"/>
        </w:rPr>
        <w:t>5、落实政府采购政策需满足的资格要求：</w:t>
      </w:r>
    </w:p>
    <w:p w14:paraId="773C177C">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hr-HR" w:eastAsia="zh-CN" w:bidi="ar-SA"/>
        </w:rPr>
        <w:t>本项目专门面向中小微企业采购，</w:t>
      </w:r>
      <w:r>
        <w:rPr>
          <w:rFonts w:hint="eastAsia" w:ascii="宋体" w:hAnsi="宋体" w:eastAsia="宋体" w:cs="宋体"/>
          <w:iCs/>
          <w:snapToGrid w:val="0"/>
          <w:kern w:val="2"/>
          <w:sz w:val="24"/>
          <w:szCs w:val="24"/>
          <w:shd w:val="clear" w:color="auto" w:fill="FFFFFF" w:themeFill="background1"/>
          <w:lang w:val="en-US" w:eastAsia="zh-CN" w:bidi="ar-SA"/>
        </w:rPr>
        <w:t>投标</w:t>
      </w:r>
      <w:r>
        <w:rPr>
          <w:rFonts w:hint="eastAsia" w:ascii="宋体" w:hAnsi="宋体" w:eastAsia="宋体" w:cs="宋体"/>
          <w:iCs/>
          <w:snapToGrid w:val="0"/>
          <w:kern w:val="2"/>
          <w:sz w:val="24"/>
          <w:szCs w:val="24"/>
          <w:shd w:val="clear" w:color="auto" w:fill="FFFFFF" w:themeFill="background1"/>
          <w:lang w:val="hr-HR" w:eastAsia="zh-CN" w:bidi="ar-SA"/>
        </w:rPr>
        <w:t>人应提供《中小企业声明函》，否则将视为无效</w:t>
      </w:r>
      <w:r>
        <w:rPr>
          <w:rFonts w:hint="eastAsia" w:ascii="宋体" w:hAnsi="宋体" w:eastAsia="宋体" w:cs="宋体"/>
          <w:iCs/>
          <w:snapToGrid w:val="0"/>
          <w:kern w:val="2"/>
          <w:sz w:val="24"/>
          <w:szCs w:val="24"/>
          <w:shd w:val="clear" w:color="auto" w:fill="FFFFFF" w:themeFill="background1"/>
          <w:lang w:val="en-US" w:eastAsia="zh-CN" w:bidi="ar-SA"/>
        </w:rPr>
        <w:t>投标</w:t>
      </w:r>
      <w:r>
        <w:rPr>
          <w:rFonts w:hint="eastAsia" w:ascii="宋体" w:hAnsi="宋体" w:eastAsia="宋体" w:cs="宋体"/>
          <w:iCs/>
          <w:snapToGrid w:val="0"/>
          <w:kern w:val="2"/>
          <w:sz w:val="24"/>
          <w:szCs w:val="24"/>
          <w:shd w:val="clear" w:color="auto" w:fill="FFFFFF" w:themeFill="background1"/>
          <w:lang w:val="hr-HR" w:eastAsia="zh-CN" w:bidi="ar-SA"/>
        </w:rPr>
        <w:t>。</w:t>
      </w:r>
    </w:p>
    <w:p w14:paraId="72DD546B">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hr-HR" w:eastAsia="zh-CN" w:bidi="ar-SA"/>
        </w:rPr>
        <w:t>6、本项目的特定资格要求：</w:t>
      </w:r>
    </w:p>
    <w:p w14:paraId="6F726703">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hr-HR" w:eastAsia="zh-CN" w:bidi="ar-SA"/>
        </w:rPr>
        <w:t>（1）投标人须在工商行政管理部门注册并取得营业执照的独立法人机构，具有有效的营业执照；</w:t>
      </w:r>
    </w:p>
    <w:p w14:paraId="3976DB61">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hr-HR" w:eastAsia="zh-CN" w:bidi="ar-SA"/>
        </w:rPr>
        <w:t>（2）投标人须具有有效的食品生产许可证或食品经营许可证；</w:t>
      </w:r>
    </w:p>
    <w:p w14:paraId="330898AF">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en-US" w:eastAsia="zh-CN" w:bidi="ar-SA"/>
        </w:rPr>
      </w:pPr>
      <w:r>
        <w:rPr>
          <w:rFonts w:hint="eastAsia" w:ascii="宋体" w:hAnsi="宋体" w:eastAsia="宋体" w:cs="宋体"/>
          <w:iCs/>
          <w:snapToGrid w:val="0"/>
          <w:kern w:val="2"/>
          <w:sz w:val="24"/>
          <w:szCs w:val="24"/>
          <w:shd w:val="clear" w:color="auto" w:fill="FFFFFF" w:themeFill="background1"/>
          <w:lang w:val="en-US" w:eastAsia="zh-CN" w:bidi="ar-SA"/>
        </w:rPr>
        <w:t>（3）投标人在近三年内在生产、经营中无食品安全、质量方面的违法行为不良记录的书面承诺或声明。</w:t>
      </w:r>
    </w:p>
    <w:p w14:paraId="6E09D2DF">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zh-CN" w:eastAsia="zh-CN" w:bidi="ar-SA"/>
        </w:rPr>
      </w:pPr>
      <w:r>
        <w:rPr>
          <w:rFonts w:hint="eastAsia" w:ascii="宋体" w:hAnsi="宋体" w:eastAsia="宋体" w:cs="宋体"/>
          <w:iCs/>
          <w:snapToGrid w:val="0"/>
          <w:kern w:val="2"/>
          <w:sz w:val="24"/>
          <w:szCs w:val="24"/>
          <w:shd w:val="clear" w:color="auto" w:fill="FFFFFF" w:themeFill="background1"/>
          <w:lang w:val="en-US" w:eastAsia="zh-CN" w:bidi="ar-SA"/>
        </w:rPr>
        <w:t>（4）</w:t>
      </w:r>
      <w:r>
        <w:rPr>
          <w:rFonts w:hint="eastAsia" w:ascii="宋体" w:hAnsi="宋体" w:eastAsia="宋体" w:cs="宋体"/>
          <w:iCs/>
          <w:snapToGrid w:val="0"/>
          <w:kern w:val="2"/>
          <w:sz w:val="24"/>
          <w:szCs w:val="24"/>
          <w:shd w:val="clear" w:color="auto" w:fill="FFFFFF" w:themeFill="background1"/>
          <w:lang w:val="zh-CN" w:eastAsia="zh-CN" w:bidi="ar-SA"/>
        </w:rPr>
        <w:t>以联合体形式参加的，应当提供联合体协议书；</w:t>
      </w:r>
    </w:p>
    <w:p w14:paraId="5FE699F1">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en-US" w:eastAsia="zh-CN" w:bidi="ar-SA"/>
        </w:rPr>
      </w:pPr>
      <w:r>
        <w:rPr>
          <w:rFonts w:hint="eastAsia" w:ascii="宋体" w:hAnsi="宋体" w:eastAsia="宋体" w:cs="宋体"/>
          <w:iCs/>
          <w:snapToGrid w:val="0"/>
          <w:kern w:val="2"/>
          <w:sz w:val="24"/>
          <w:szCs w:val="24"/>
          <w:shd w:val="clear" w:color="auto" w:fill="FFFFFF" w:themeFill="background1"/>
          <w:lang w:val="en-US" w:eastAsia="zh-CN" w:bidi="ar-SA"/>
        </w:rPr>
        <w:t>1）联合体投标须提供联合体协议书（明确联合体牵头单位和各方的权利义务。并将该联合体协议书随同投标文件一并递交）。</w:t>
      </w:r>
    </w:p>
    <w:p w14:paraId="5CF8C192">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en-US" w:eastAsia="zh-CN" w:bidi="ar-SA"/>
        </w:rPr>
      </w:pPr>
      <w:r>
        <w:rPr>
          <w:rFonts w:hint="eastAsia" w:ascii="宋体" w:hAnsi="宋体" w:eastAsia="宋体" w:cs="宋体"/>
          <w:iCs/>
          <w:snapToGrid w:val="0"/>
          <w:kern w:val="2"/>
          <w:sz w:val="24"/>
          <w:szCs w:val="24"/>
          <w:shd w:val="clear" w:color="auto" w:fill="FFFFFF" w:themeFill="background1"/>
          <w:lang w:val="en-US" w:eastAsia="zh-CN" w:bidi="ar-SA"/>
        </w:rPr>
        <w:t>2）组合联合体应符合法律法规对联合体投标的有关规定，联合体各方不得再以自己名义单独或参加其他联合体在本项目投标。如有违反，其投标和与此有关的联合体的投标将被拒绝。</w:t>
      </w:r>
    </w:p>
    <w:p w14:paraId="4CC0103F">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en-US" w:eastAsia="zh-CN" w:bidi="ar-SA"/>
        </w:rPr>
      </w:pPr>
      <w:r>
        <w:rPr>
          <w:rFonts w:hint="eastAsia" w:ascii="宋体" w:hAnsi="宋体" w:eastAsia="宋体" w:cs="宋体"/>
          <w:iCs/>
          <w:snapToGrid w:val="0"/>
          <w:kern w:val="2"/>
          <w:sz w:val="24"/>
          <w:szCs w:val="24"/>
          <w:shd w:val="clear" w:color="auto" w:fill="FFFFFF" w:themeFill="background1"/>
          <w:lang w:val="en-US" w:eastAsia="zh-CN" w:bidi="ar-SA"/>
        </w:rPr>
        <w:t>3）组成联合体的中小企业与联合体内其他企业之间不得存在直接控股、管理关系。</w:t>
      </w:r>
    </w:p>
    <w:p w14:paraId="4F41430D">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en-US" w:eastAsia="zh-CN" w:bidi="ar-SA"/>
        </w:rPr>
      </w:pPr>
      <w:r>
        <w:rPr>
          <w:rFonts w:hint="eastAsia" w:ascii="宋体" w:hAnsi="宋体" w:eastAsia="宋体" w:cs="宋体"/>
          <w:iCs/>
          <w:snapToGrid w:val="0"/>
          <w:kern w:val="2"/>
          <w:sz w:val="24"/>
          <w:szCs w:val="24"/>
          <w:shd w:val="clear" w:color="auto" w:fill="FFFFFF" w:themeFill="background1"/>
          <w:lang w:val="en-US" w:eastAsia="zh-CN" w:bidi="ar-SA"/>
        </w:rPr>
        <w:t>4）联合体成员单位均应符合投标人资格要求规定。</w:t>
      </w:r>
    </w:p>
    <w:p w14:paraId="35CE0C1A">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en-US" w:eastAsia="zh-CN" w:bidi="ar-SA"/>
        </w:rPr>
      </w:pPr>
      <w:r>
        <w:rPr>
          <w:rFonts w:hint="eastAsia" w:ascii="宋体" w:hAnsi="宋体" w:eastAsia="宋体" w:cs="宋体"/>
          <w:iCs/>
          <w:snapToGrid w:val="0"/>
          <w:kern w:val="2"/>
          <w:sz w:val="24"/>
          <w:szCs w:val="24"/>
          <w:shd w:val="clear" w:color="auto" w:fill="FFFFFF" w:themeFill="background1"/>
          <w:lang w:val="en-US" w:eastAsia="zh-CN" w:bidi="ar-SA"/>
        </w:rPr>
        <w:t>5）联合体牵头单位负责联合体在本项目中的投标报名、缴纳保证金等相关事宜。</w:t>
      </w:r>
    </w:p>
    <w:p w14:paraId="44CC20F8">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en-US" w:eastAsia="zh-CN" w:bidi="ar-SA"/>
        </w:rPr>
      </w:pPr>
      <w:r>
        <w:rPr>
          <w:rFonts w:hint="eastAsia" w:ascii="宋体" w:hAnsi="宋体" w:eastAsia="宋体" w:cs="宋体"/>
          <w:iCs/>
          <w:snapToGrid w:val="0"/>
          <w:kern w:val="2"/>
          <w:sz w:val="24"/>
          <w:szCs w:val="24"/>
          <w:shd w:val="clear" w:color="auto" w:fill="FFFFFF" w:themeFill="background1"/>
          <w:lang w:val="en-US" w:eastAsia="zh-CN" w:bidi="ar-SA"/>
        </w:rPr>
        <w:t>6）组成联合体的成员单位不超过2 个。</w:t>
      </w:r>
    </w:p>
    <w:p w14:paraId="1C968E50">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en-US" w:eastAsia="zh-CN" w:bidi="ar-SA"/>
        </w:rPr>
      </w:pPr>
      <w:r>
        <w:rPr>
          <w:rFonts w:hint="eastAsia" w:ascii="宋体" w:hAnsi="宋体" w:eastAsia="宋体" w:cs="宋体"/>
          <w:iCs/>
          <w:snapToGrid w:val="0"/>
          <w:kern w:val="2"/>
          <w:sz w:val="24"/>
          <w:szCs w:val="24"/>
          <w:shd w:val="clear" w:color="auto" w:fill="FFFFFF" w:themeFill="background1"/>
          <w:lang w:val="en-US" w:eastAsia="zh-CN" w:bidi="ar-SA"/>
        </w:rPr>
        <w:t>（5）如国家法律法规对市场准入有要求的还应符合相关规定。</w:t>
      </w:r>
    </w:p>
    <w:p w14:paraId="7063C148">
      <w:pPr>
        <w:pageBreakBefore w:val="0"/>
        <w:kinsoku/>
        <w:wordWrap w:val="0"/>
        <w:overflowPunct/>
        <w:topLinePunct w:val="0"/>
        <w:autoSpaceDE/>
        <w:autoSpaceDN/>
        <w:bidi w:val="0"/>
        <w:adjustRightInd/>
        <w:snapToGrid/>
        <w:spacing w:after="0" w:line="360" w:lineRule="auto"/>
        <w:ind w:left="0" w:leftChars="0" w:right="0" w:firstLine="482" w:firstLineChars="200"/>
        <w:jc w:val="both"/>
        <w:textAlignment w:val="baseline"/>
        <w:rPr>
          <w:rFonts w:hint="eastAsia" w:ascii="宋体" w:hAnsi="宋体" w:eastAsia="宋体" w:cs="宋体"/>
          <w:b/>
          <w:bCs/>
          <w:iCs/>
          <w:snapToGrid w:val="0"/>
          <w:kern w:val="2"/>
          <w:sz w:val="24"/>
          <w:szCs w:val="24"/>
          <w:shd w:val="clear" w:color="auto" w:fill="FFFFFF" w:themeFill="background1"/>
          <w:lang w:val="zh-CN" w:eastAsia="zh-CN" w:bidi="ar-SA"/>
        </w:rPr>
      </w:pPr>
      <w:r>
        <w:rPr>
          <w:rFonts w:hint="eastAsia" w:ascii="宋体" w:hAnsi="宋体" w:eastAsia="宋体" w:cs="宋体"/>
          <w:b/>
          <w:bCs/>
          <w:iCs/>
          <w:snapToGrid w:val="0"/>
          <w:kern w:val="2"/>
          <w:sz w:val="24"/>
          <w:szCs w:val="24"/>
          <w:shd w:val="clear" w:color="auto" w:fill="FFFFFF" w:themeFill="background1"/>
          <w:lang w:val="en-US" w:eastAsia="zh-CN" w:bidi="ar-SA"/>
        </w:rPr>
        <w:t>三、</w:t>
      </w:r>
      <w:r>
        <w:rPr>
          <w:rFonts w:hint="eastAsia" w:ascii="宋体" w:hAnsi="宋体" w:eastAsia="宋体" w:cs="宋体"/>
          <w:b/>
          <w:bCs/>
          <w:iCs/>
          <w:snapToGrid w:val="0"/>
          <w:kern w:val="2"/>
          <w:sz w:val="24"/>
          <w:szCs w:val="24"/>
          <w:shd w:val="clear" w:color="auto" w:fill="FFFFFF" w:themeFill="background1"/>
          <w:lang w:val="zh-CN" w:eastAsia="zh-CN" w:bidi="ar-SA"/>
        </w:rPr>
        <w:t>采购需求</w:t>
      </w:r>
      <w:bookmarkStart w:id="22" w:name="_Toc155185889"/>
      <w:bookmarkStart w:id="23" w:name="_Toc140132812"/>
      <w:bookmarkStart w:id="24" w:name="_Toc163492886"/>
    </w:p>
    <w:p w14:paraId="211ABE8B">
      <w:pPr>
        <w:pageBreakBefore w:val="0"/>
        <w:kinsoku/>
        <w:wordWrap w:val="0"/>
        <w:overflowPunct/>
        <w:topLinePunct w:val="0"/>
        <w:autoSpaceDE/>
        <w:autoSpaceDN/>
        <w:bidi w:val="0"/>
        <w:adjustRightInd/>
        <w:snapToGrid/>
        <w:spacing w:after="0" w:line="360" w:lineRule="auto"/>
        <w:ind w:left="0" w:leftChars="0" w:right="0" w:firstLine="482" w:firstLineChars="200"/>
        <w:jc w:val="both"/>
        <w:textAlignment w:val="baseline"/>
        <w:rPr>
          <w:rFonts w:hint="eastAsia" w:ascii="宋体" w:hAnsi="宋体" w:eastAsia="宋体" w:cs="宋体"/>
          <w:b/>
          <w:bCs/>
          <w:iCs/>
          <w:snapToGrid w:val="0"/>
          <w:kern w:val="2"/>
          <w:sz w:val="24"/>
          <w:szCs w:val="24"/>
          <w:shd w:val="clear" w:color="auto" w:fill="FFFFFF" w:themeFill="background1"/>
          <w:lang w:val="zh-CN" w:eastAsia="zh-CN" w:bidi="ar-SA"/>
        </w:rPr>
      </w:pPr>
      <w:r>
        <w:rPr>
          <w:rFonts w:hint="eastAsia" w:ascii="宋体" w:hAnsi="宋体" w:eastAsia="宋体" w:cs="宋体"/>
          <w:b/>
          <w:bCs/>
          <w:iCs/>
          <w:snapToGrid w:val="0"/>
          <w:kern w:val="2"/>
          <w:sz w:val="24"/>
          <w:szCs w:val="24"/>
          <w:shd w:val="clear" w:color="auto" w:fill="FFFFFF" w:themeFill="background1"/>
          <w:lang w:val="en-US" w:eastAsia="zh-CN" w:bidi="ar-SA"/>
        </w:rPr>
        <w:t>（一）</w:t>
      </w:r>
      <w:r>
        <w:rPr>
          <w:rFonts w:hint="eastAsia" w:ascii="宋体" w:hAnsi="宋体" w:eastAsia="宋体" w:cs="宋体"/>
          <w:b/>
          <w:bCs/>
          <w:iCs/>
          <w:snapToGrid w:val="0"/>
          <w:kern w:val="2"/>
          <w:sz w:val="24"/>
          <w:szCs w:val="24"/>
          <w:shd w:val="clear" w:color="auto" w:fill="FFFFFF" w:themeFill="background1"/>
          <w:lang w:val="zh-CN" w:eastAsia="zh-CN" w:bidi="ar-SA"/>
        </w:rPr>
        <w:t>项目概述</w:t>
      </w:r>
    </w:p>
    <w:p w14:paraId="6A851EFB">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en-US" w:eastAsia="zh-CN" w:bidi="ar-SA"/>
        </w:rPr>
      </w:pPr>
      <w:r>
        <w:rPr>
          <w:rFonts w:hint="eastAsia" w:ascii="宋体" w:hAnsi="宋体" w:eastAsia="宋体" w:cs="宋体"/>
          <w:iCs/>
          <w:snapToGrid w:val="0"/>
          <w:kern w:val="2"/>
          <w:sz w:val="24"/>
          <w:szCs w:val="24"/>
          <w:shd w:val="clear" w:color="auto" w:fill="FFFFFF" w:themeFill="background1"/>
          <w:lang w:val="en-US" w:eastAsia="zh-CN" w:bidi="ar-SA"/>
        </w:rPr>
        <w:t>1、项目名称：2026年黄梅县校园食堂米面油集采集配项目</w:t>
      </w:r>
    </w:p>
    <w:p w14:paraId="6D16D781">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en-US" w:eastAsia="zh-CN" w:bidi="ar-SA"/>
        </w:rPr>
      </w:pPr>
      <w:r>
        <w:rPr>
          <w:rFonts w:hint="eastAsia" w:ascii="宋体" w:hAnsi="宋体" w:eastAsia="宋体" w:cs="宋体"/>
          <w:iCs/>
          <w:snapToGrid w:val="0"/>
          <w:kern w:val="2"/>
          <w:sz w:val="24"/>
          <w:szCs w:val="24"/>
          <w:shd w:val="clear" w:color="auto" w:fill="FFFFFF" w:themeFill="background1"/>
          <w:lang w:val="en-US" w:eastAsia="zh-CN" w:bidi="ar-SA"/>
        </w:rPr>
        <w:t>2、服务地点：黄梅县范围内，采购人指定地点</w:t>
      </w:r>
    </w:p>
    <w:p w14:paraId="6FA4859D">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en-US" w:eastAsia="zh-CN" w:bidi="ar-SA"/>
        </w:rPr>
      </w:pPr>
      <w:r>
        <w:rPr>
          <w:rFonts w:hint="eastAsia" w:ascii="宋体" w:hAnsi="宋体" w:eastAsia="宋体" w:cs="宋体"/>
          <w:iCs/>
          <w:snapToGrid w:val="0"/>
          <w:kern w:val="2"/>
          <w:sz w:val="24"/>
          <w:szCs w:val="24"/>
          <w:shd w:val="clear" w:color="auto" w:fill="FFFFFF" w:themeFill="background1"/>
          <w:lang w:val="en-US" w:eastAsia="zh-CN" w:bidi="ar-SA"/>
        </w:rPr>
        <w:t>3、服务范围：全县所有公办学校及幼儿园、民办学校（以下统称“各校园”）食堂的大米、面粉、食用油的采购、储存、配送及相关服务。</w:t>
      </w:r>
    </w:p>
    <w:p w14:paraId="4F72145D">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en-US" w:eastAsia="zh-CN" w:bidi="ar-SA"/>
        </w:rPr>
        <w:t>4、合同履行期限：服务期一年（2026年9月1日至2027年8月31日）。最终供货时间以签订合同为准</w:t>
      </w:r>
      <w:r>
        <w:rPr>
          <w:rFonts w:hint="eastAsia" w:ascii="宋体" w:hAnsi="宋体" w:eastAsia="宋体" w:cs="宋体"/>
          <w:iCs/>
          <w:snapToGrid w:val="0"/>
          <w:kern w:val="2"/>
          <w:sz w:val="24"/>
          <w:szCs w:val="24"/>
          <w:shd w:val="clear" w:color="auto" w:fill="FFFFFF" w:themeFill="background1"/>
          <w:lang w:val="hr-HR" w:eastAsia="zh-CN" w:bidi="ar-SA"/>
        </w:rPr>
        <w:t>。</w:t>
      </w:r>
    </w:p>
    <w:p w14:paraId="0F838004">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hr-HR" w:eastAsia="zh-CN" w:bidi="ar-SA"/>
        </w:rPr>
      </w:pPr>
      <w:r>
        <w:rPr>
          <w:rFonts w:hint="eastAsia" w:ascii="宋体" w:hAnsi="宋体" w:eastAsia="宋体" w:cs="宋体"/>
          <w:iCs/>
          <w:snapToGrid w:val="0"/>
          <w:kern w:val="2"/>
          <w:sz w:val="24"/>
          <w:szCs w:val="24"/>
          <w:shd w:val="clear" w:color="auto" w:fill="FFFFFF" w:themeFill="background1"/>
          <w:lang w:val="en-US" w:eastAsia="zh-CN" w:bidi="ar-SA"/>
        </w:rPr>
        <w:t>5、订单模式：采用“周报及时按需配送”模式。即采购人在每周三前通过中标公司规定的系统，按规定的格式报送次周的食材采购清单，清单包含食材的品类、数量及配送时间。中标公司派专人利用具有冷藏设施的运输车辆及时按需进行配送。</w:t>
      </w:r>
    </w:p>
    <w:p w14:paraId="7F0AB863">
      <w:pPr>
        <w:pStyle w:val="2"/>
        <w:pageBreakBefore w:val="0"/>
        <w:numPr>
          <w:ilvl w:val="0"/>
          <w:numId w:val="0"/>
        </w:numPr>
        <w:kinsoku/>
        <w:overflowPunct/>
        <w:topLinePunct w:val="0"/>
        <w:autoSpaceDE/>
        <w:autoSpaceDN/>
        <w:bidi w:val="0"/>
        <w:adjustRightInd/>
        <w:snapToGrid/>
        <w:spacing w:before="0" w:after="0" w:line="360" w:lineRule="auto"/>
        <w:ind w:left="0" w:leftChars="0" w:right="0"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采购清单</w:t>
      </w:r>
      <w:bookmarkEnd w:id="22"/>
      <w:bookmarkEnd w:id="23"/>
      <w:bookmarkEnd w:id="24"/>
    </w:p>
    <w:p w14:paraId="3A12D6E8">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en-US" w:eastAsia="zh-CN" w:bidi="ar-SA"/>
        </w:rPr>
      </w:pPr>
      <w:r>
        <w:rPr>
          <w:rFonts w:hint="eastAsia" w:ascii="宋体" w:hAnsi="宋体" w:eastAsia="宋体" w:cs="宋体"/>
          <w:iCs/>
          <w:snapToGrid w:val="0"/>
          <w:kern w:val="2"/>
          <w:sz w:val="24"/>
          <w:szCs w:val="24"/>
          <w:shd w:val="clear" w:color="auto" w:fill="FFFFFF" w:themeFill="background1"/>
          <w:lang w:val="en-US" w:eastAsia="zh-CN" w:bidi="ar-SA"/>
        </w:rPr>
        <w:t>采购品类：</w:t>
      </w:r>
    </w:p>
    <w:p w14:paraId="06129F84">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en-US" w:eastAsia="zh-CN" w:bidi="ar-SA"/>
        </w:rPr>
      </w:pPr>
      <w:r>
        <w:rPr>
          <w:rFonts w:hint="eastAsia" w:ascii="宋体" w:hAnsi="宋体" w:eastAsia="宋体" w:cs="宋体"/>
          <w:iCs/>
          <w:snapToGrid w:val="0"/>
          <w:kern w:val="2"/>
          <w:sz w:val="24"/>
          <w:szCs w:val="24"/>
          <w:shd w:val="clear" w:color="auto" w:fill="FFFFFF" w:themeFill="background1"/>
          <w:lang w:val="en-US" w:eastAsia="zh-CN" w:bidi="ar-SA"/>
        </w:rPr>
        <w:t>主食类：大米、面粉</w:t>
      </w:r>
    </w:p>
    <w:p w14:paraId="62E1E68D">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Cs/>
          <w:snapToGrid w:val="0"/>
          <w:kern w:val="2"/>
          <w:sz w:val="24"/>
          <w:szCs w:val="24"/>
          <w:shd w:val="clear" w:color="auto" w:fill="FFFFFF" w:themeFill="background1"/>
          <w:lang w:val="en-US" w:eastAsia="zh-CN" w:bidi="ar-SA"/>
        </w:rPr>
        <w:t>食用油类：各类食用植物油(非转基因食用油)</w:t>
      </w:r>
    </w:p>
    <w:tbl>
      <w:tblPr>
        <w:tblStyle w:val="9"/>
        <w:tblW w:w="839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75"/>
        <w:gridCol w:w="4320"/>
      </w:tblGrid>
      <w:tr w14:paraId="094819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4075" w:type="dxa"/>
            <w:shd w:val="clear" w:color="auto" w:fill="EEEEEE"/>
            <w:vAlign w:val="center"/>
          </w:tcPr>
          <w:p w14:paraId="0DE6F7E3">
            <w:pPr>
              <w:pStyle w:val="3"/>
              <w:pageBreakBefore w:val="0"/>
              <w:kinsoku/>
              <w:overflowPunct/>
              <w:topLinePunct w:val="0"/>
              <w:autoSpaceDE/>
              <w:autoSpaceDN/>
              <w:bidi w:val="0"/>
              <w:adjustRightInd/>
              <w:snapToGrid/>
              <w:spacing w:line="360" w:lineRule="auto"/>
              <w:ind w:left="0" w:leftChars="0" w:right="0" w:firstLine="480" w:firstLineChars="200"/>
              <w:jc w:val="center"/>
              <w:rPr>
                <w:rFonts w:hint="eastAsia" w:ascii="宋体" w:hAnsi="宋体" w:eastAsia="宋体" w:cs="宋体"/>
                <w:sz w:val="24"/>
                <w:szCs w:val="24"/>
              </w:rPr>
            </w:pPr>
            <w:r>
              <w:rPr>
                <w:rFonts w:hint="eastAsia" w:ascii="宋体" w:hAnsi="宋体" w:eastAsia="宋体" w:cs="宋体"/>
                <w:sz w:val="24"/>
                <w:szCs w:val="24"/>
              </w:rPr>
              <w:t>商品类别</w:t>
            </w:r>
          </w:p>
        </w:tc>
        <w:tc>
          <w:tcPr>
            <w:tcW w:w="4320" w:type="dxa"/>
            <w:shd w:val="clear" w:color="auto" w:fill="EEEEEE"/>
            <w:vAlign w:val="center"/>
          </w:tcPr>
          <w:p w14:paraId="61C0EDC7">
            <w:pPr>
              <w:pStyle w:val="3"/>
              <w:pageBreakBefore w:val="0"/>
              <w:kinsoku/>
              <w:overflowPunct/>
              <w:topLinePunct w:val="0"/>
              <w:autoSpaceDE/>
              <w:autoSpaceDN/>
              <w:bidi w:val="0"/>
              <w:adjustRightInd/>
              <w:snapToGrid/>
              <w:spacing w:line="360" w:lineRule="auto"/>
              <w:ind w:left="0" w:leftChars="0" w:right="0" w:firstLine="480" w:firstLineChars="200"/>
              <w:jc w:val="center"/>
              <w:rPr>
                <w:rFonts w:hint="eastAsia" w:ascii="宋体" w:hAnsi="宋体" w:eastAsia="宋体" w:cs="宋体"/>
                <w:sz w:val="24"/>
                <w:szCs w:val="24"/>
              </w:rPr>
            </w:pPr>
            <w:r>
              <w:rPr>
                <w:rFonts w:hint="eastAsia" w:ascii="宋体" w:hAnsi="宋体" w:eastAsia="宋体" w:cs="宋体"/>
                <w:sz w:val="24"/>
                <w:szCs w:val="24"/>
              </w:rPr>
              <w:t>质量要求</w:t>
            </w:r>
          </w:p>
        </w:tc>
      </w:tr>
      <w:tr w14:paraId="32747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0" w:hRule="atLeast"/>
        </w:trPr>
        <w:tc>
          <w:tcPr>
            <w:tcW w:w="4075" w:type="dxa"/>
            <w:vAlign w:val="center"/>
          </w:tcPr>
          <w:p w14:paraId="2BD17358">
            <w:pPr>
              <w:pStyle w:val="3"/>
              <w:pageBreakBefore w:val="0"/>
              <w:kinsoku/>
              <w:overflowPunct/>
              <w:topLinePunct w:val="0"/>
              <w:autoSpaceDE/>
              <w:autoSpaceDN/>
              <w:bidi w:val="0"/>
              <w:adjustRightInd/>
              <w:snapToGrid/>
              <w:spacing w:line="360" w:lineRule="auto"/>
              <w:ind w:left="0" w:leftChars="0" w:right="0" w:firstLine="480" w:firstLineChars="200"/>
              <w:jc w:val="center"/>
              <w:rPr>
                <w:rFonts w:hint="eastAsia" w:ascii="宋体" w:hAnsi="宋体" w:eastAsia="宋体" w:cs="宋体"/>
                <w:sz w:val="24"/>
                <w:szCs w:val="24"/>
              </w:rPr>
            </w:pPr>
            <w:r>
              <w:rPr>
                <w:rFonts w:hint="eastAsia" w:ascii="宋体" w:hAnsi="宋体" w:eastAsia="宋体" w:cs="宋体"/>
                <w:sz w:val="24"/>
                <w:szCs w:val="24"/>
              </w:rPr>
              <w:t>大米</w:t>
            </w:r>
          </w:p>
        </w:tc>
        <w:tc>
          <w:tcPr>
            <w:tcW w:w="4320" w:type="dxa"/>
            <w:vAlign w:val="center"/>
          </w:tcPr>
          <w:p w14:paraId="3B418385">
            <w:pPr>
              <w:pStyle w:val="3"/>
              <w:pageBreakBefore w:val="0"/>
              <w:kinsoku/>
              <w:overflowPunct/>
              <w:topLinePunct w:val="0"/>
              <w:autoSpaceDE/>
              <w:autoSpaceDN/>
              <w:bidi w:val="0"/>
              <w:adjustRightInd/>
              <w:snapToGrid/>
              <w:spacing w:line="360" w:lineRule="auto"/>
              <w:ind w:left="0" w:leftChars="0" w:right="0" w:firstLine="480" w:firstLineChars="200"/>
              <w:jc w:val="center"/>
              <w:rPr>
                <w:rFonts w:hint="eastAsia" w:ascii="宋体" w:hAnsi="宋体" w:eastAsia="宋体" w:cs="宋体"/>
                <w:sz w:val="24"/>
                <w:szCs w:val="24"/>
              </w:rPr>
            </w:pPr>
            <w:r>
              <w:rPr>
                <w:rFonts w:hint="eastAsia" w:ascii="宋体" w:hAnsi="宋体" w:eastAsia="宋体" w:cs="宋体"/>
                <w:sz w:val="24"/>
                <w:szCs w:val="24"/>
              </w:rPr>
              <w:t>合格</w:t>
            </w:r>
          </w:p>
        </w:tc>
      </w:tr>
      <w:tr w14:paraId="43E847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4075" w:type="dxa"/>
            <w:vAlign w:val="center"/>
          </w:tcPr>
          <w:p w14:paraId="5B5BE8E7">
            <w:pPr>
              <w:pStyle w:val="3"/>
              <w:pageBreakBefore w:val="0"/>
              <w:kinsoku/>
              <w:overflowPunct/>
              <w:topLinePunct w:val="0"/>
              <w:autoSpaceDE/>
              <w:autoSpaceDN/>
              <w:bidi w:val="0"/>
              <w:adjustRightInd/>
              <w:snapToGrid/>
              <w:spacing w:line="360" w:lineRule="auto"/>
              <w:ind w:left="0" w:leftChars="0" w:right="0" w:firstLine="480" w:firstLineChars="200"/>
              <w:jc w:val="center"/>
              <w:rPr>
                <w:rFonts w:hint="eastAsia" w:ascii="宋体" w:hAnsi="宋体" w:eastAsia="宋体" w:cs="宋体"/>
                <w:sz w:val="24"/>
                <w:szCs w:val="24"/>
              </w:rPr>
            </w:pPr>
            <w:r>
              <w:rPr>
                <w:rFonts w:hint="eastAsia" w:ascii="宋体" w:hAnsi="宋体" w:eastAsia="宋体" w:cs="宋体"/>
                <w:sz w:val="24"/>
                <w:szCs w:val="24"/>
              </w:rPr>
              <w:t>面粉</w:t>
            </w:r>
          </w:p>
        </w:tc>
        <w:tc>
          <w:tcPr>
            <w:tcW w:w="4320" w:type="dxa"/>
            <w:vAlign w:val="center"/>
          </w:tcPr>
          <w:p w14:paraId="1A24B2C1">
            <w:pPr>
              <w:pStyle w:val="3"/>
              <w:pageBreakBefore w:val="0"/>
              <w:kinsoku/>
              <w:overflowPunct/>
              <w:topLinePunct w:val="0"/>
              <w:autoSpaceDE/>
              <w:autoSpaceDN/>
              <w:bidi w:val="0"/>
              <w:adjustRightInd/>
              <w:snapToGrid/>
              <w:spacing w:line="360" w:lineRule="auto"/>
              <w:ind w:left="0" w:leftChars="0" w:right="0" w:firstLine="480" w:firstLineChars="200"/>
              <w:jc w:val="center"/>
              <w:rPr>
                <w:rFonts w:hint="eastAsia" w:ascii="宋体" w:hAnsi="宋体" w:eastAsia="宋体" w:cs="宋体"/>
                <w:sz w:val="24"/>
                <w:szCs w:val="24"/>
              </w:rPr>
            </w:pPr>
            <w:r>
              <w:rPr>
                <w:rFonts w:hint="eastAsia" w:ascii="宋体" w:hAnsi="宋体" w:eastAsia="宋体" w:cs="宋体"/>
                <w:sz w:val="24"/>
                <w:szCs w:val="24"/>
              </w:rPr>
              <w:t>合格</w:t>
            </w:r>
          </w:p>
        </w:tc>
      </w:tr>
      <w:tr w14:paraId="5F1F15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4075" w:type="dxa"/>
            <w:vAlign w:val="center"/>
          </w:tcPr>
          <w:p w14:paraId="75DD3674">
            <w:pPr>
              <w:pStyle w:val="3"/>
              <w:pageBreakBefore w:val="0"/>
              <w:kinsoku/>
              <w:overflowPunct/>
              <w:topLinePunct w:val="0"/>
              <w:autoSpaceDE/>
              <w:autoSpaceDN/>
              <w:bidi w:val="0"/>
              <w:adjustRightInd/>
              <w:snapToGrid/>
              <w:spacing w:line="360" w:lineRule="auto"/>
              <w:ind w:left="0" w:leftChars="0" w:right="0" w:firstLine="480" w:firstLineChars="200"/>
              <w:jc w:val="center"/>
              <w:rPr>
                <w:rFonts w:hint="eastAsia" w:ascii="宋体" w:hAnsi="宋体" w:eastAsia="宋体" w:cs="宋体"/>
                <w:sz w:val="24"/>
                <w:szCs w:val="24"/>
              </w:rPr>
            </w:pPr>
            <w:r>
              <w:rPr>
                <w:rFonts w:hint="eastAsia" w:ascii="宋体" w:hAnsi="宋体" w:eastAsia="宋体" w:cs="宋体"/>
                <w:sz w:val="24"/>
                <w:szCs w:val="24"/>
              </w:rPr>
              <w:t>食用油</w:t>
            </w:r>
          </w:p>
        </w:tc>
        <w:tc>
          <w:tcPr>
            <w:tcW w:w="4320" w:type="dxa"/>
            <w:vAlign w:val="center"/>
          </w:tcPr>
          <w:p w14:paraId="00EA20EF">
            <w:pPr>
              <w:pStyle w:val="3"/>
              <w:pageBreakBefore w:val="0"/>
              <w:kinsoku/>
              <w:overflowPunct/>
              <w:topLinePunct w:val="0"/>
              <w:autoSpaceDE/>
              <w:autoSpaceDN/>
              <w:bidi w:val="0"/>
              <w:adjustRightInd/>
              <w:snapToGrid/>
              <w:spacing w:line="360" w:lineRule="auto"/>
              <w:ind w:left="0" w:leftChars="0" w:right="0" w:firstLine="480" w:firstLineChars="200"/>
              <w:jc w:val="center"/>
              <w:rPr>
                <w:rFonts w:hint="eastAsia" w:ascii="宋体" w:hAnsi="宋体" w:eastAsia="宋体" w:cs="宋体"/>
                <w:sz w:val="24"/>
                <w:szCs w:val="24"/>
              </w:rPr>
            </w:pPr>
            <w:r>
              <w:rPr>
                <w:rFonts w:hint="eastAsia" w:ascii="宋体" w:hAnsi="宋体" w:eastAsia="宋体" w:cs="宋体"/>
                <w:sz w:val="24"/>
                <w:szCs w:val="24"/>
              </w:rPr>
              <w:t>合格</w:t>
            </w:r>
          </w:p>
        </w:tc>
      </w:tr>
    </w:tbl>
    <w:p w14:paraId="3E55673B">
      <w:pPr>
        <w:pStyle w:val="17"/>
        <w:pageBreakBefore w:val="0"/>
        <w:kinsoku/>
        <w:overflowPunct/>
        <w:topLinePunct w:val="0"/>
        <w:autoSpaceDE/>
        <w:autoSpaceDN/>
        <w:bidi w:val="0"/>
        <w:adjustRightInd/>
        <w:snapToGrid/>
        <w:spacing w:after="0" w:line="360" w:lineRule="auto"/>
        <w:ind w:left="0" w:leftChars="0" w:right="0" w:firstLine="482" w:firstLineChars="200"/>
        <w:rPr>
          <w:rFonts w:hint="eastAsia" w:ascii="宋体" w:hAnsi="宋体" w:eastAsia="宋体" w:cs="宋体"/>
          <w:b/>
          <w:bCs/>
          <w:sz w:val="24"/>
          <w:szCs w:val="24"/>
        </w:rPr>
      </w:pPr>
      <w:bookmarkStart w:id="25" w:name="_Toc494561954"/>
      <w:bookmarkStart w:id="26" w:name="_Toc102056233"/>
      <w:bookmarkStart w:id="27" w:name="_Toc102116167"/>
      <w:bookmarkStart w:id="28" w:name="_Toc117244369"/>
      <w:bookmarkStart w:id="29" w:name="_Toc163492888"/>
      <w:bookmarkStart w:id="30" w:name="_Toc102119868"/>
      <w:bookmarkStart w:id="31" w:name="_Toc117244484"/>
      <w:bookmarkStart w:id="32" w:name="_Toc122685177"/>
      <w:bookmarkStart w:id="33" w:name="_Toc102116037"/>
      <w:bookmarkStart w:id="34" w:name="_Toc102057733"/>
      <w:bookmarkStart w:id="35" w:name="_Toc511894510"/>
      <w:bookmarkStart w:id="36" w:name="_Toc107561287"/>
      <w:bookmarkStart w:id="37" w:name="_Toc511889432"/>
      <w:bookmarkStart w:id="38" w:name="_Toc102114935"/>
      <w:bookmarkStart w:id="39" w:name="_Toc155185891"/>
      <w:r>
        <w:rPr>
          <w:rFonts w:hint="eastAsia" w:ascii="宋体" w:hAnsi="宋体" w:eastAsia="宋体" w:cs="宋体"/>
          <w:b/>
          <w:bCs/>
          <w:kern w:val="2"/>
          <w:sz w:val="24"/>
          <w:szCs w:val="24"/>
          <w:lang w:val="en-US" w:eastAsia="zh-CN" w:bidi="ar-SA"/>
        </w:rPr>
        <w:t>（三）</w:t>
      </w:r>
      <w:r>
        <w:rPr>
          <w:rFonts w:hint="eastAsia" w:ascii="宋体" w:hAnsi="宋体" w:eastAsia="宋体" w:cs="宋体"/>
          <w:b/>
          <w:bCs/>
          <w:sz w:val="24"/>
          <w:szCs w:val="24"/>
        </w:rPr>
        <w:t>采购需求执行的相关标准、规范</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54C343D4">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zh-CN" w:eastAsia="zh-CN" w:bidi="ar-SA"/>
        </w:rPr>
      </w:pPr>
      <w:bookmarkStart w:id="40" w:name="_Toc102057734"/>
      <w:bookmarkStart w:id="41" w:name="_Toc122685178"/>
      <w:bookmarkStart w:id="42" w:name="_Toc102114936"/>
      <w:bookmarkStart w:id="43" w:name="_Toc107561288"/>
      <w:bookmarkStart w:id="44" w:name="_Toc155185892"/>
      <w:bookmarkStart w:id="45" w:name="_Toc102119869"/>
      <w:bookmarkStart w:id="46" w:name="_Toc102116168"/>
      <w:bookmarkStart w:id="47" w:name="_Toc494561955"/>
      <w:bookmarkStart w:id="48" w:name="_Toc102116038"/>
      <w:bookmarkStart w:id="49" w:name="_Toc511889433"/>
      <w:bookmarkStart w:id="50" w:name="_Toc102056234"/>
      <w:bookmarkStart w:id="51" w:name="_Toc163492889"/>
      <w:bookmarkStart w:id="52" w:name="_Toc511894511"/>
      <w:bookmarkStart w:id="53" w:name="_Toc117244485"/>
      <w:bookmarkStart w:id="54" w:name="_Toc117244370"/>
      <w:r>
        <w:rPr>
          <w:rFonts w:hint="eastAsia" w:ascii="宋体" w:hAnsi="宋体" w:eastAsia="宋体" w:cs="宋体"/>
          <w:iCs/>
          <w:snapToGrid w:val="0"/>
          <w:kern w:val="2"/>
          <w:sz w:val="24"/>
          <w:szCs w:val="24"/>
          <w:shd w:val="clear" w:color="auto" w:fill="FFFFFF" w:themeFill="background1"/>
          <w:lang w:val="zh-CN" w:eastAsia="zh-CN" w:bidi="ar-SA"/>
        </w:rPr>
        <w:t>1、严格遵守《中华人民共和国食品卫生法》及相关法律法规，对市场监督管理局、教育局等主管部门及学校在日常检查中发现存在的问题，中标企业必须积极配合，按要求及时整改，整改不达标，招标人有权终止合同。中标经营企业如因管理不善造成安全事故，则应负全部责任，招标人有权无条件终止合同。</w:t>
      </w:r>
    </w:p>
    <w:p w14:paraId="7FB37ABD">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iCs/>
          <w:snapToGrid w:val="0"/>
          <w:kern w:val="2"/>
          <w:sz w:val="24"/>
          <w:szCs w:val="24"/>
          <w:shd w:val="clear" w:color="auto" w:fill="FFFFFF" w:themeFill="background1"/>
          <w:lang w:val="zh-CN" w:eastAsia="zh-CN" w:bidi="ar-SA"/>
        </w:rPr>
      </w:pPr>
      <w:r>
        <w:rPr>
          <w:rFonts w:hint="eastAsia" w:ascii="宋体" w:hAnsi="宋体" w:eastAsia="宋体" w:cs="宋体"/>
          <w:iCs/>
          <w:snapToGrid w:val="0"/>
          <w:kern w:val="2"/>
          <w:sz w:val="24"/>
          <w:szCs w:val="24"/>
          <w:shd w:val="clear" w:color="auto" w:fill="FFFFFF" w:themeFill="background1"/>
          <w:lang w:val="zh-CN" w:eastAsia="zh-CN" w:bidi="ar-SA"/>
        </w:rPr>
        <w:t>2、遵守学校管理制度，服从学校的统一管理，维护学校荣誉，有较强的为师生服务的意识。学校将定期或不定期在师生中调查食材质量、并将情况通知经营者，经营者应听取意见，采取措施并及时整改。</w:t>
      </w:r>
    </w:p>
    <w:p w14:paraId="76C05838">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iCs/>
          <w:snapToGrid w:val="0"/>
          <w:kern w:val="2"/>
          <w:sz w:val="24"/>
          <w:szCs w:val="24"/>
          <w:shd w:val="clear" w:color="auto" w:fill="FFFFFF" w:themeFill="background1"/>
          <w:lang w:val="zh-CN" w:eastAsia="zh-CN" w:bidi="ar-SA"/>
        </w:rPr>
        <w:t>3、具有完善的的信息化管理系统，提供的任何食材必须是来源明确可追溯，不得采购假冒伪劣，腐败变质，过期，无生产厂址及无生产日期的食品。</w:t>
      </w:r>
    </w:p>
    <w:p w14:paraId="5126DE90">
      <w:pPr>
        <w:pStyle w:val="2"/>
        <w:pageBreakBefore w:val="0"/>
        <w:numPr>
          <w:ilvl w:val="0"/>
          <w:numId w:val="0"/>
        </w:numPr>
        <w:kinsoku/>
        <w:overflowPunct/>
        <w:topLinePunct w:val="0"/>
        <w:autoSpaceDE/>
        <w:autoSpaceDN/>
        <w:bidi w:val="0"/>
        <w:adjustRightInd/>
        <w:snapToGrid/>
        <w:spacing w:before="0" w:after="0" w:line="360" w:lineRule="auto"/>
        <w:ind w:left="0" w:leftChars="0" w:right="0" w:firstLine="482" w:firstLineChars="200"/>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（四）</w:t>
      </w:r>
      <w:r>
        <w:rPr>
          <w:rFonts w:hint="eastAsia" w:ascii="宋体" w:hAnsi="宋体" w:eastAsia="宋体" w:cs="宋体"/>
          <w:sz w:val="24"/>
          <w:szCs w:val="24"/>
        </w:rPr>
        <w:t>技术要求</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EFF011F">
      <w:pPr>
        <w:pageBreakBefore w:val="0"/>
        <w:kinsoku/>
        <w:wordWrap w:val="0"/>
        <w:overflowPunct/>
        <w:topLinePunct w:val="0"/>
        <w:autoSpaceDE/>
        <w:autoSpaceDN/>
        <w:bidi w:val="0"/>
        <w:adjustRightInd/>
        <w:snapToGrid/>
        <w:spacing w:after="0" w:line="360" w:lineRule="auto"/>
        <w:ind w:left="0" w:leftChars="0" w:right="0" w:firstLine="482" w:firstLineChars="200"/>
        <w:jc w:val="both"/>
        <w:textAlignment w:val="baseline"/>
        <w:rPr>
          <w:rFonts w:hint="eastAsia" w:ascii="宋体" w:hAnsi="宋体" w:eastAsia="宋体" w:cs="宋体"/>
          <w:color w:val="auto"/>
          <w:sz w:val="24"/>
          <w:szCs w:val="24"/>
        </w:rPr>
      </w:pPr>
      <w:bookmarkStart w:id="55" w:name="_Toc117244486"/>
      <w:bookmarkStart w:id="56" w:name="_Toc102114937"/>
      <w:bookmarkStart w:id="57" w:name="_Toc102116169"/>
      <w:bookmarkStart w:id="58" w:name="_Toc511894512"/>
      <w:bookmarkStart w:id="59" w:name="_Toc155185893"/>
      <w:bookmarkStart w:id="60" w:name="_Toc102119870"/>
      <w:bookmarkStart w:id="61" w:name="_Toc102116039"/>
      <w:bookmarkStart w:id="62" w:name="_Toc102057735"/>
      <w:bookmarkStart w:id="63" w:name="_Toc163492890"/>
      <w:bookmarkStart w:id="64" w:name="_Toc511889434"/>
      <w:bookmarkStart w:id="65" w:name="_Toc107561289"/>
      <w:bookmarkStart w:id="66" w:name="_Toc122685179"/>
      <w:bookmarkStart w:id="67" w:name="_Toc102056235"/>
      <w:bookmarkStart w:id="68" w:name="_Toc494561956"/>
      <w:bookmarkStart w:id="69" w:name="_Toc117244371"/>
      <w:r>
        <w:rPr>
          <w:rFonts w:hint="eastAsia" w:ascii="宋体" w:hAnsi="宋体" w:eastAsia="宋体" w:cs="宋体"/>
          <w:b/>
          <w:bCs/>
          <w:color w:val="auto"/>
          <w:sz w:val="24"/>
          <w:szCs w:val="24"/>
        </w:rPr>
        <w:t>质量标准要求</w:t>
      </w:r>
    </w:p>
    <w:p w14:paraId="7D44ED68">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大米：符合《大米》（</w:t>
      </w:r>
      <w:r>
        <w:rPr>
          <w:rFonts w:hint="eastAsia" w:ascii="宋体" w:hAnsi="宋体" w:eastAsia="宋体" w:cs="宋体"/>
          <w:color w:val="auto"/>
          <w:sz w:val="24"/>
          <w:szCs w:val="24"/>
          <w:lang w:eastAsia="zh-CN"/>
        </w:rPr>
        <w:t>GB/T 1354-2018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；根据《食品安全国家标准 食品中污染物限量》（GB 2762-2022），重金属镉含量应≤0.2mg/kg。此外，食品应无霉变、异味、结块，水分含量符合相关规定，包装完好且清晰标注生产日期、保质期、产地等信息。</w:t>
      </w:r>
    </w:p>
    <w:p w14:paraId="7DFF4F56">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面粉：符合《小麦粉》（GB/T 1355-2021）国家标准，禁止添加过氧化苯甲酰等违禁添加剂，水分含量≤14.0%，无杂质、无异味，面筋指数等指标达标。根据我国卫生部等6部门的公告，自2011年5月1日起，禁止在面粉生产中添加过氧化苯甲酰。</w:t>
      </w:r>
    </w:p>
    <w:p w14:paraId="51544ECC">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食用油：符合对应品种国家标准（如大豆油GB/T 1535-2017、花生油GB/T 1534-2017等），酸价≤3mg/g，过氧化值≤0.25g/100g，无掺假掺杂，包装符合食品包装安全标准。根据《食品安全国家标准 植物油》（GB 2716-2018），食用植物油的酸价应≤3mg/g，过氧化值应≤0.25g/100g。</w:t>
      </w:r>
    </w:p>
    <w:p w14:paraId="29257D0D">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b/>
          <w:bCs/>
          <w:i w:val="0"/>
          <w:color w:val="auto"/>
          <w:spacing w:val="0"/>
          <w:sz w:val="24"/>
          <w:szCs w:val="24"/>
        </w:rPr>
      </w:pPr>
      <w:r>
        <w:rPr>
          <w:rFonts w:hint="eastAsia" w:ascii="宋体" w:hAnsi="宋体" w:eastAsia="宋体" w:cs="宋体"/>
          <w:color w:val="auto"/>
          <w:sz w:val="24"/>
          <w:szCs w:val="24"/>
          <w:lang w:val="en-US" w:eastAsia="zh-CN"/>
        </w:rPr>
        <w:t>注：</w:t>
      </w:r>
      <w:r>
        <w:rPr>
          <w:rFonts w:hint="eastAsia" w:ascii="宋体" w:hAnsi="宋体" w:eastAsia="宋体" w:cs="宋体"/>
          <w:color w:val="auto"/>
          <w:sz w:val="24"/>
          <w:szCs w:val="24"/>
        </w:rPr>
        <w:t>所有食材需通过正规渠道采购，追溯链条完整，能提供上游供应商资质证明及采购凭证。</w:t>
      </w:r>
      <w:r>
        <w:rPr>
          <w:rFonts w:hint="eastAsia" w:ascii="宋体" w:hAnsi="宋体" w:eastAsia="宋体" w:cs="宋体"/>
          <w:b/>
          <w:bCs/>
          <w:i w:val="0"/>
          <w:color w:val="auto"/>
          <w:spacing w:val="0"/>
          <w:sz w:val="24"/>
          <w:szCs w:val="24"/>
        </w:rPr>
        <w:t>(</w:t>
      </w:r>
      <w:r>
        <w:rPr>
          <w:rFonts w:hint="eastAsia" w:ascii="宋体" w:hAnsi="宋体" w:eastAsia="宋体" w:cs="宋体"/>
          <w:b/>
          <w:bCs/>
          <w:i w:val="0"/>
          <w:color w:val="auto"/>
          <w:spacing w:val="0"/>
          <w:sz w:val="24"/>
          <w:szCs w:val="24"/>
          <w:lang w:val="en-US" w:eastAsia="zh-CN"/>
        </w:rPr>
        <w:t>或</w:t>
      </w:r>
      <w:r>
        <w:rPr>
          <w:rFonts w:hint="eastAsia" w:ascii="宋体" w:hAnsi="宋体" w:eastAsia="宋体" w:cs="宋体"/>
          <w:b/>
          <w:bCs/>
          <w:i w:val="0"/>
          <w:color w:val="auto"/>
          <w:spacing w:val="0"/>
          <w:sz w:val="24"/>
          <w:szCs w:val="24"/>
        </w:rPr>
        <w:t>提供承诺)</w:t>
      </w:r>
    </w:p>
    <w:p w14:paraId="3713B337">
      <w:pPr>
        <w:pStyle w:val="2"/>
        <w:pageBreakBefore w:val="0"/>
        <w:numPr>
          <w:ilvl w:val="0"/>
          <w:numId w:val="0"/>
        </w:numPr>
        <w:kinsoku/>
        <w:overflowPunct/>
        <w:topLinePunct w:val="0"/>
        <w:autoSpaceDE/>
        <w:autoSpaceDN/>
        <w:bidi w:val="0"/>
        <w:adjustRightInd/>
        <w:snapToGrid/>
        <w:spacing w:before="0" w:after="0" w:line="360" w:lineRule="auto"/>
        <w:ind w:left="0" w:leftChars="0" w:right="0" w:firstLine="482" w:firstLineChars="200"/>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（五）</w:t>
      </w:r>
      <w:r>
        <w:rPr>
          <w:rFonts w:hint="eastAsia" w:ascii="宋体" w:hAnsi="宋体" w:eastAsia="宋体" w:cs="宋体"/>
          <w:sz w:val="24"/>
          <w:szCs w:val="24"/>
        </w:rPr>
        <w:t>商务要求</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CA7AFB0">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sz w:val="24"/>
          <w:szCs w:val="24"/>
        </w:rPr>
      </w:pPr>
      <w:bookmarkStart w:id="70" w:name="_Toc155185894"/>
      <w:bookmarkStart w:id="71" w:name="_Toc163492891"/>
      <w:bookmarkStart w:id="72" w:name="_Toc140132818"/>
      <w:r>
        <w:rPr>
          <w:rFonts w:hint="eastAsia" w:ascii="宋体" w:hAnsi="宋体" w:eastAsia="宋体" w:cs="宋体"/>
          <w:b w:val="0"/>
          <w:i w:val="0"/>
          <w:color w:val="000000"/>
          <w:spacing w:val="0"/>
          <w:sz w:val="24"/>
          <w:szCs w:val="24"/>
          <w:lang w:val="en-US" w:eastAsia="zh-CN"/>
        </w:rPr>
        <w:t>1、</w:t>
      </w:r>
      <w:r>
        <w:rPr>
          <w:rFonts w:hint="eastAsia" w:ascii="宋体" w:hAnsi="宋体" w:eastAsia="宋体" w:cs="宋体"/>
          <w:b w:val="0"/>
          <w:i w:val="0"/>
          <w:color w:val="000000"/>
          <w:spacing w:val="0"/>
          <w:sz w:val="24"/>
          <w:szCs w:val="24"/>
        </w:rPr>
        <w:t>配送服务地点：</w:t>
      </w:r>
      <w:r>
        <w:rPr>
          <w:rFonts w:hint="eastAsia" w:ascii="宋体" w:hAnsi="宋体" w:eastAsia="宋体" w:cs="宋体"/>
          <w:b w:val="0"/>
          <w:i w:val="0"/>
          <w:color w:val="000000"/>
          <w:spacing w:val="0"/>
          <w:sz w:val="24"/>
          <w:szCs w:val="24"/>
          <w:lang w:val="en-US" w:eastAsia="zh-CN"/>
        </w:rPr>
        <w:t>黄梅</w:t>
      </w:r>
      <w:r>
        <w:rPr>
          <w:rFonts w:hint="eastAsia" w:ascii="宋体" w:hAnsi="宋体" w:eastAsia="宋体" w:cs="宋体"/>
          <w:b w:val="0"/>
          <w:i w:val="0"/>
          <w:color w:val="000000"/>
          <w:spacing w:val="0"/>
          <w:sz w:val="24"/>
          <w:szCs w:val="24"/>
        </w:rPr>
        <w:t>县范围内采购人指定地点</w:t>
      </w:r>
    </w:p>
    <w:p w14:paraId="2946D938">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b w:val="0"/>
          <w:i w:val="0"/>
          <w:color w:val="000000"/>
          <w:spacing w:val="0"/>
          <w:sz w:val="24"/>
          <w:szCs w:val="24"/>
          <w:lang w:eastAsia="zh-CN"/>
        </w:rPr>
      </w:pPr>
      <w:r>
        <w:rPr>
          <w:rFonts w:hint="eastAsia" w:ascii="宋体" w:hAnsi="宋体" w:eastAsia="宋体" w:cs="宋体"/>
          <w:b w:val="0"/>
          <w:i w:val="0"/>
          <w:color w:val="000000"/>
          <w:spacing w:val="0"/>
          <w:sz w:val="24"/>
          <w:szCs w:val="24"/>
          <w:lang w:val="en-US" w:eastAsia="zh-CN"/>
        </w:rPr>
        <w:t>2、</w:t>
      </w:r>
      <w:r>
        <w:rPr>
          <w:rFonts w:hint="eastAsia" w:ascii="宋体" w:hAnsi="宋体" w:eastAsia="宋体" w:cs="宋体"/>
          <w:b w:val="0"/>
          <w:i w:val="0"/>
          <w:color w:val="000000"/>
          <w:spacing w:val="0"/>
          <w:sz w:val="24"/>
          <w:szCs w:val="24"/>
        </w:rPr>
        <w:t>配送服务</w:t>
      </w:r>
      <w:r>
        <w:rPr>
          <w:rFonts w:hint="eastAsia" w:ascii="宋体" w:hAnsi="宋体" w:eastAsia="宋体" w:cs="宋体"/>
          <w:b w:val="0"/>
          <w:i w:val="0"/>
          <w:color w:val="000000"/>
          <w:spacing w:val="0"/>
          <w:sz w:val="24"/>
          <w:szCs w:val="24"/>
          <w:lang w:val="en-US" w:eastAsia="zh-CN"/>
        </w:rPr>
        <w:t>要求</w:t>
      </w:r>
      <w:r>
        <w:rPr>
          <w:rFonts w:hint="eastAsia" w:ascii="宋体" w:hAnsi="宋体" w:eastAsia="宋体" w:cs="宋体"/>
          <w:b w:val="0"/>
          <w:i w:val="0"/>
          <w:color w:val="000000"/>
          <w:spacing w:val="0"/>
          <w:sz w:val="24"/>
          <w:szCs w:val="24"/>
          <w:lang w:eastAsia="zh-CN"/>
        </w:rPr>
        <w:t>：</w:t>
      </w:r>
    </w:p>
    <w:p w14:paraId="317008CF">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b w:val="0"/>
          <w:i w:val="0"/>
          <w:color w:val="000000"/>
          <w:spacing w:val="0"/>
          <w:sz w:val="24"/>
          <w:szCs w:val="24"/>
          <w:lang w:eastAsia="zh-CN"/>
        </w:rPr>
      </w:pPr>
      <w:r>
        <w:rPr>
          <w:rFonts w:hint="eastAsia" w:ascii="宋体" w:hAnsi="宋体" w:eastAsia="宋体" w:cs="宋体"/>
          <w:b w:val="0"/>
          <w:i w:val="0"/>
          <w:color w:val="000000"/>
          <w:spacing w:val="0"/>
          <w:sz w:val="24"/>
          <w:szCs w:val="24"/>
          <w:lang w:val="en-US" w:eastAsia="zh-CN"/>
        </w:rPr>
        <w:t>2.1</w:t>
      </w:r>
      <w:r>
        <w:rPr>
          <w:rFonts w:hint="eastAsia" w:ascii="宋体" w:hAnsi="宋体" w:eastAsia="宋体" w:cs="宋体"/>
          <w:b w:val="0"/>
          <w:i w:val="0"/>
          <w:color w:val="000000"/>
          <w:spacing w:val="0"/>
          <w:sz w:val="24"/>
          <w:szCs w:val="24"/>
          <w:lang w:eastAsia="zh-CN"/>
        </w:rPr>
        <w:t>配送响应：接到学校订单后24小时内完成备货，48小时内送达指定地点；紧急订单需在12小时内响应，24小时内送达。</w:t>
      </w:r>
    </w:p>
    <w:p w14:paraId="1851BDE9">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b w:val="0"/>
          <w:i w:val="0"/>
          <w:color w:val="000000"/>
          <w:spacing w:val="0"/>
          <w:sz w:val="24"/>
          <w:szCs w:val="24"/>
          <w:lang w:eastAsia="zh-CN"/>
        </w:rPr>
      </w:pPr>
      <w:r>
        <w:rPr>
          <w:rFonts w:hint="eastAsia" w:ascii="宋体" w:hAnsi="宋体" w:eastAsia="宋体" w:cs="宋体"/>
          <w:b w:val="0"/>
          <w:i w:val="0"/>
          <w:color w:val="000000"/>
          <w:spacing w:val="0"/>
          <w:sz w:val="24"/>
          <w:szCs w:val="24"/>
          <w:lang w:val="en-US" w:eastAsia="zh-CN"/>
        </w:rPr>
        <w:t>2.2</w:t>
      </w:r>
      <w:r>
        <w:rPr>
          <w:rFonts w:hint="eastAsia" w:ascii="宋体" w:hAnsi="宋体" w:eastAsia="宋体" w:cs="宋体"/>
          <w:b w:val="0"/>
          <w:i w:val="0"/>
          <w:color w:val="000000"/>
          <w:spacing w:val="0"/>
          <w:sz w:val="24"/>
          <w:szCs w:val="24"/>
          <w:lang w:eastAsia="zh-CN"/>
        </w:rPr>
        <w:t>运输保障：使用专用配送车辆，保持食材运输过程中的适宜温度（大米、面粉15-25℃，食用油5-30℃），防止受潮、污染、变质。</w:t>
      </w:r>
    </w:p>
    <w:p w14:paraId="43773A8E">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b w:val="0"/>
          <w:i w:val="0"/>
          <w:color w:val="000000"/>
          <w:spacing w:val="0"/>
          <w:sz w:val="24"/>
          <w:szCs w:val="24"/>
          <w:lang w:eastAsia="zh-CN"/>
        </w:rPr>
      </w:pPr>
      <w:r>
        <w:rPr>
          <w:rFonts w:hint="eastAsia" w:ascii="宋体" w:hAnsi="宋体" w:eastAsia="宋体" w:cs="宋体"/>
          <w:b w:val="0"/>
          <w:i w:val="0"/>
          <w:color w:val="000000"/>
          <w:spacing w:val="0"/>
          <w:sz w:val="24"/>
          <w:szCs w:val="24"/>
          <w:lang w:val="en-US" w:eastAsia="zh-CN"/>
        </w:rPr>
        <w:t>2.3</w:t>
      </w:r>
      <w:r>
        <w:rPr>
          <w:rFonts w:hint="eastAsia" w:ascii="宋体" w:hAnsi="宋体" w:eastAsia="宋体" w:cs="宋体"/>
          <w:b w:val="0"/>
          <w:i w:val="0"/>
          <w:color w:val="000000"/>
          <w:spacing w:val="0"/>
          <w:sz w:val="24"/>
          <w:szCs w:val="24"/>
          <w:lang w:eastAsia="zh-CN"/>
        </w:rPr>
        <w:t>交接验收：配送时需提供每批次食材的质量合格证明，配合学校进行感官检验和数量核对，签署验收记录；对不合格食材无条件退换，且在24小时内补足合格产品。</w:t>
      </w:r>
    </w:p>
    <w:p w14:paraId="20D282D7">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b w:val="0"/>
          <w:i w:val="0"/>
          <w:color w:val="000000"/>
          <w:spacing w:val="0"/>
          <w:sz w:val="24"/>
          <w:szCs w:val="24"/>
          <w:lang w:eastAsia="zh-CN"/>
        </w:rPr>
      </w:pPr>
      <w:r>
        <w:rPr>
          <w:rFonts w:hint="eastAsia" w:ascii="宋体" w:hAnsi="宋体" w:eastAsia="宋体" w:cs="宋体"/>
          <w:b w:val="0"/>
          <w:i w:val="0"/>
          <w:color w:val="000000"/>
          <w:spacing w:val="0"/>
          <w:sz w:val="24"/>
          <w:szCs w:val="24"/>
          <w:lang w:val="en-US" w:eastAsia="zh-CN"/>
        </w:rPr>
        <w:t>2.4</w:t>
      </w:r>
      <w:r>
        <w:rPr>
          <w:rFonts w:hint="eastAsia" w:ascii="宋体" w:hAnsi="宋体" w:eastAsia="宋体" w:cs="宋体"/>
          <w:b w:val="0"/>
          <w:i w:val="0"/>
          <w:color w:val="000000"/>
          <w:spacing w:val="0"/>
          <w:sz w:val="24"/>
          <w:szCs w:val="24"/>
          <w:lang w:eastAsia="zh-CN"/>
        </w:rPr>
        <w:t>仓储管理：食材仓储需分区分类存放，配备三防设施（防鼠、防蝇、防尘），建立库存台账，实行先进先出管理，定期开展库存清查。</w:t>
      </w:r>
    </w:p>
    <w:p w14:paraId="6F2B806A">
      <w:pPr>
        <w:pStyle w:val="17"/>
        <w:pageBreakBefore w:val="0"/>
        <w:kinsoku/>
        <w:overflowPunct/>
        <w:topLinePunct w:val="0"/>
        <w:autoSpaceDE/>
        <w:autoSpaceDN/>
        <w:bidi w:val="0"/>
        <w:adjustRightInd/>
        <w:snapToGrid/>
        <w:spacing w:after="0" w:line="360" w:lineRule="auto"/>
        <w:ind w:left="0" w:leftChars="0" w:right="0" w:firstLine="480" w:firstLineChars="200"/>
        <w:rPr>
          <w:rFonts w:hint="eastAsia" w:ascii="宋体" w:hAnsi="宋体" w:eastAsia="宋体" w:cs="宋体"/>
          <w:color w:val="FF0000"/>
          <w:sz w:val="24"/>
          <w:szCs w:val="24"/>
          <w:highlight w:val="yellow"/>
        </w:rPr>
      </w:pPr>
      <w:r>
        <w:rPr>
          <w:rFonts w:hint="eastAsia" w:ascii="宋体" w:hAnsi="宋体" w:eastAsia="宋体" w:cs="宋体"/>
          <w:b w:val="0"/>
          <w:i w:val="0"/>
          <w:color w:val="auto"/>
          <w:spacing w:val="0"/>
          <w:sz w:val="24"/>
          <w:szCs w:val="24"/>
          <w:highlight w:val="none"/>
          <w:lang w:val="en-US" w:eastAsia="zh-CN"/>
        </w:rPr>
        <w:t>3、</w:t>
      </w:r>
      <w:r>
        <w:rPr>
          <w:rFonts w:hint="eastAsia" w:ascii="宋体" w:hAnsi="宋体" w:eastAsia="宋体" w:cs="宋体"/>
          <w:b w:val="0"/>
          <w:i w:val="0"/>
          <w:color w:val="auto"/>
          <w:spacing w:val="0"/>
          <w:sz w:val="24"/>
          <w:szCs w:val="24"/>
          <w:highlight w:val="none"/>
        </w:rPr>
        <w:t>供货服务期限：</w:t>
      </w:r>
      <w:r>
        <w:rPr>
          <w:rFonts w:hint="eastAsia" w:cs="宋体"/>
          <w:sz w:val="24"/>
          <w:szCs w:val="24"/>
          <w:highlight w:val="none"/>
          <w:lang w:val="en-US" w:eastAsia="zh-CN"/>
        </w:rPr>
        <w:t>服务期一年（2026年9月1日至2027年8月31日）</w:t>
      </w:r>
      <w:r>
        <w:rPr>
          <w:rFonts w:hint="eastAsia" w:ascii="宋体" w:hAnsi="宋体" w:eastAsia="宋体" w:cs="宋体"/>
          <w:sz w:val="24"/>
          <w:szCs w:val="24"/>
          <w:highlight w:val="none"/>
          <w:lang w:val="hr-HR"/>
        </w:rPr>
        <w:t>。</w:t>
      </w:r>
      <w:r>
        <w:rPr>
          <w:rFonts w:hint="eastAsia" w:cs="宋体"/>
          <w:sz w:val="24"/>
          <w:szCs w:val="24"/>
          <w:highlight w:val="none"/>
          <w:lang w:val="en-US" w:eastAsia="zh-CN"/>
        </w:rPr>
        <w:t>最终供货时间以签订合同为准</w:t>
      </w:r>
      <w:r>
        <w:rPr>
          <w:rFonts w:hint="eastAsia" w:ascii="宋体" w:hAnsi="宋体" w:eastAsia="宋体" w:cs="宋体"/>
          <w:sz w:val="24"/>
          <w:szCs w:val="24"/>
          <w:highlight w:val="none"/>
          <w:lang w:val="hr-HR" w:eastAsia="zh-CN"/>
        </w:rPr>
        <w:t>。</w:t>
      </w:r>
    </w:p>
    <w:p w14:paraId="3AF16A4E">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lang w:val="en-US" w:eastAsia="zh-CN"/>
        </w:rPr>
        <w:t>4、</w:t>
      </w:r>
      <w:r>
        <w:rPr>
          <w:rFonts w:hint="eastAsia" w:ascii="宋体" w:hAnsi="宋体" w:eastAsia="宋体" w:cs="宋体"/>
          <w:b w:val="0"/>
          <w:i w:val="0"/>
          <w:color w:val="000000"/>
          <w:spacing w:val="0"/>
          <w:sz w:val="24"/>
          <w:szCs w:val="24"/>
        </w:rPr>
        <w:t>货物质保期：根据国家相关规定执行，终身食品安全质量保证。</w:t>
      </w:r>
    </w:p>
    <w:p w14:paraId="4588DB83">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lang w:val="en-US" w:eastAsia="zh-CN"/>
        </w:rPr>
        <w:t>5、</w:t>
      </w:r>
      <w:r>
        <w:rPr>
          <w:rFonts w:hint="eastAsia" w:ascii="宋体" w:hAnsi="宋体" w:eastAsia="宋体" w:cs="宋体"/>
          <w:b w:val="0"/>
          <w:i w:val="0"/>
          <w:color w:val="000000"/>
          <w:spacing w:val="0"/>
          <w:sz w:val="24"/>
          <w:szCs w:val="24"/>
        </w:rPr>
        <w:t>报价要求及结算方式</w:t>
      </w:r>
    </w:p>
    <w:p w14:paraId="4A7A8815">
      <w:pPr>
        <w:pStyle w:val="4"/>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textAlignment w:val="auto"/>
        <w:rPr>
          <w:rFonts w:hint="eastAsia" w:ascii="宋体" w:hAnsi="宋体" w:eastAsia="宋体" w:cs="宋体"/>
          <w:caps w:val="0"/>
          <w:smallCaps w:val="0"/>
          <w:color w:val="auto"/>
          <w:spacing w:val="0"/>
          <w:sz w:val="24"/>
          <w:szCs w:val="24"/>
          <w:highlight w:val="none"/>
          <w:lang w:val="en-US" w:eastAsia="zh-CN"/>
        </w:rPr>
      </w:pPr>
      <w:r>
        <w:rPr>
          <w:rFonts w:hint="eastAsia" w:ascii="宋体" w:hAnsi="宋体" w:eastAsia="宋体" w:cs="宋体"/>
          <w:b w:val="0"/>
          <w:i w:val="0"/>
          <w:color w:val="000000"/>
          <w:spacing w:val="0"/>
          <w:sz w:val="24"/>
          <w:szCs w:val="24"/>
          <w:lang w:val="en-US" w:eastAsia="zh-CN"/>
        </w:rPr>
        <w:t>5.</w:t>
      </w:r>
      <w:r>
        <w:rPr>
          <w:rFonts w:hint="eastAsia" w:ascii="宋体" w:hAnsi="宋体" w:eastAsia="宋体" w:cs="宋体"/>
          <w:b w:val="0"/>
          <w:i w:val="0"/>
          <w:color w:val="000000"/>
          <w:spacing w:val="0"/>
          <w:sz w:val="24"/>
          <w:szCs w:val="24"/>
        </w:rPr>
        <w:t>1</w:t>
      </w:r>
      <w:r>
        <w:rPr>
          <w:rFonts w:hint="eastAsia" w:ascii="宋体" w:hAnsi="宋体" w:eastAsia="宋体" w:cs="宋体"/>
          <w:b w:val="0"/>
          <w:i w:val="0"/>
          <w:color w:val="000000"/>
          <w:spacing w:val="0"/>
          <w:sz w:val="24"/>
          <w:szCs w:val="24"/>
          <w:lang w:val="en-US" w:eastAsia="zh-CN"/>
        </w:rPr>
        <w:t>报价要求：</w:t>
      </w:r>
      <w:r>
        <w:rPr>
          <w:rFonts w:hint="eastAsia" w:ascii="宋体" w:hAnsi="宋体" w:eastAsia="宋体" w:cs="宋体"/>
          <w:caps w:val="0"/>
          <w:smallCaps w:val="0"/>
          <w:color w:val="auto"/>
          <w:spacing w:val="0"/>
          <w:sz w:val="24"/>
          <w:szCs w:val="24"/>
          <w:highlight w:val="none"/>
          <w:lang w:val="en-US" w:eastAsia="zh-CN"/>
        </w:rPr>
        <w:t>本项目投标人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承诺后期供货价格在当地市场均价的基础上下浮不低于5%，且不高于黄梅县学校后勤保障中心询价机制发布的食材指导价；</w:t>
      </w:r>
    </w:p>
    <w:p w14:paraId="5D73B34C">
      <w:pPr>
        <w:pStyle w:val="4"/>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5.1.1本项目投标报价为固定报价，投标人必须接受并作出书面承诺，不得随意更改内容，否则视为无效投标。</w:t>
      </w:r>
    </w:p>
    <w:p w14:paraId="6083B67C">
      <w:pPr>
        <w:pStyle w:val="4"/>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5.1.2</w:t>
      </w:r>
      <w:r>
        <w:rPr>
          <w:rFonts w:hint="eastAsia" w:ascii="宋体" w:hAnsi="宋体" w:eastAsia="宋体" w:cs="宋体"/>
          <w:caps w:val="0"/>
          <w:smallCaps w:val="0"/>
          <w:color w:val="auto"/>
          <w:spacing w:val="0"/>
          <w:sz w:val="24"/>
          <w:szCs w:val="24"/>
          <w:highlight w:val="none"/>
        </w:rPr>
        <w:t>本项目采用固定报价的原则进行报价，评标委员会不认可不按招标文件规定报价的投标报价。评标委员会如发现</w:t>
      </w:r>
      <w:r>
        <w:rPr>
          <w:rFonts w:hint="eastAsia" w:ascii="宋体" w:hAnsi="宋体" w:eastAsia="宋体" w:cs="宋体"/>
          <w:caps w:val="0"/>
          <w:smallCaps w:val="0"/>
          <w:color w:val="auto"/>
          <w:spacing w:val="0"/>
          <w:sz w:val="24"/>
          <w:szCs w:val="24"/>
          <w:highlight w:val="none"/>
          <w:lang w:val="en-US" w:eastAsia="zh-CN"/>
        </w:rPr>
        <w:t>投标人</w:t>
      </w:r>
      <w:r>
        <w:rPr>
          <w:rFonts w:hint="eastAsia" w:ascii="宋体" w:hAnsi="宋体" w:eastAsia="宋体" w:cs="宋体"/>
          <w:caps w:val="0"/>
          <w:smallCaps w:val="0"/>
          <w:color w:val="auto"/>
          <w:spacing w:val="0"/>
          <w:sz w:val="24"/>
          <w:szCs w:val="24"/>
          <w:highlight w:val="none"/>
        </w:rPr>
        <w:t>的投标报价不按招标文件规定承诺，应当将其作为无效投标处理。</w:t>
      </w:r>
    </w:p>
    <w:p w14:paraId="2599A917">
      <w:pPr>
        <w:pStyle w:val="4"/>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textAlignment w:val="auto"/>
        <w:rPr>
          <w:rFonts w:hint="eastAsia" w:ascii="宋体" w:hAnsi="宋体" w:eastAsia="宋体" w:cs="宋体"/>
          <w:caps w:val="0"/>
          <w:smallCaps w:val="0"/>
          <w:color w:val="auto"/>
          <w:spacing w:val="0"/>
          <w:sz w:val="24"/>
          <w:szCs w:val="24"/>
          <w:highlight w:val="none"/>
        </w:rPr>
      </w:pPr>
      <w:r>
        <w:rPr>
          <w:rFonts w:hint="eastAsia" w:ascii="宋体" w:hAnsi="宋体" w:eastAsia="宋体" w:cs="宋体"/>
          <w:caps w:val="0"/>
          <w:smallCaps w:val="0"/>
          <w:color w:val="auto"/>
          <w:spacing w:val="0"/>
          <w:sz w:val="24"/>
          <w:szCs w:val="24"/>
          <w:highlight w:val="none"/>
          <w:lang w:val="en-US" w:eastAsia="zh-CN"/>
        </w:rPr>
        <w:t>5.1.3</w:t>
      </w:r>
      <w:r>
        <w:rPr>
          <w:rFonts w:hint="eastAsia" w:ascii="宋体" w:hAnsi="宋体" w:eastAsia="宋体" w:cs="宋体"/>
          <w:caps w:val="0"/>
          <w:smallCaps w:val="0"/>
          <w:color w:val="auto"/>
          <w:spacing w:val="0"/>
          <w:sz w:val="24"/>
          <w:szCs w:val="24"/>
          <w:highlight w:val="none"/>
        </w:rPr>
        <w:t>评标委员会依据财政部令第87号《政府采购货物和服务招标投标管理办法》第五十五条，执行国家统一定价标准和采购固定价格采购的项目，其价格不列为评审因素。</w:t>
      </w:r>
    </w:p>
    <w:p w14:paraId="7B27BBC9">
      <w:pPr>
        <w:pStyle w:val="4"/>
        <w:keepNext w:val="0"/>
        <w:keepLines w:val="0"/>
        <w:pageBreakBefore w:val="0"/>
        <w:widowControl w:val="0"/>
        <w:kinsoku/>
        <w:wordWrap/>
        <w:overflowPunct/>
        <w:topLinePunct w:val="0"/>
        <w:autoSpaceDE/>
        <w:autoSpaceDN/>
        <w:bidi w:val="0"/>
        <w:adjustRightInd/>
        <w:snapToGrid/>
        <w:spacing w:before="0" w:after="0" w:line="360" w:lineRule="auto"/>
        <w:ind w:left="0" w:right="0" w:firstLine="480" w:firstLineChars="200"/>
        <w:textAlignment w:val="auto"/>
        <w:rPr>
          <w:rFonts w:hint="eastAsia" w:ascii="宋体" w:hAnsi="宋体" w:eastAsia="宋体" w:cs="宋体"/>
          <w:color w:val="FF0000"/>
          <w:sz w:val="24"/>
          <w:szCs w:val="24"/>
          <w:lang w:val="en-US"/>
        </w:rPr>
      </w:pPr>
      <w:r>
        <w:rPr>
          <w:rFonts w:hint="eastAsia" w:ascii="宋体" w:hAnsi="宋体" w:eastAsia="宋体" w:cs="宋体"/>
          <w:caps w:val="0"/>
          <w:smallCaps w:val="0"/>
          <w:color w:val="auto"/>
          <w:spacing w:val="0"/>
          <w:sz w:val="24"/>
          <w:szCs w:val="24"/>
          <w:highlight w:val="none"/>
          <w:lang w:val="en-US" w:eastAsia="zh-CN"/>
        </w:rPr>
        <w:t>5.1.4</w:t>
      </w:r>
      <w:r>
        <w:rPr>
          <w:rFonts w:hint="eastAsia" w:ascii="宋体" w:hAnsi="宋体" w:eastAsia="宋体" w:cs="宋体"/>
          <w:caps w:val="0"/>
          <w:smallCaps w:val="0"/>
          <w:color w:val="auto"/>
          <w:spacing w:val="0"/>
          <w:sz w:val="24"/>
          <w:szCs w:val="24"/>
          <w:highlight w:val="none"/>
        </w:rPr>
        <w:t>投标报价是履行合同的最终价格，应包括投标产品的原材料成本、生产、检验检测、包装、运输、仓储、配送、服务、利润、税金、政策性规费、保险、劳保、质保及投标等一切相关费用。</w:t>
      </w:r>
    </w:p>
    <w:p w14:paraId="1F930D22">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lang w:val="en-US" w:eastAsia="zh-CN"/>
        </w:rPr>
        <w:t>5.2</w:t>
      </w:r>
      <w:r>
        <w:rPr>
          <w:rFonts w:hint="eastAsia" w:ascii="宋体" w:hAnsi="宋体" w:eastAsia="宋体" w:cs="宋体"/>
          <w:b w:val="0"/>
          <w:i w:val="0"/>
          <w:color w:val="000000"/>
          <w:spacing w:val="0"/>
          <w:sz w:val="24"/>
          <w:szCs w:val="24"/>
        </w:rPr>
        <w:t>结算方式：大米、面粉、食用油按投标报价折合成折扣率进行结算。按照采购人实际采购产品、数量、结算单价据实结算。</w:t>
      </w:r>
    </w:p>
    <w:p w14:paraId="3F42E669">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lang w:val="en-US" w:eastAsia="zh-CN"/>
        </w:rPr>
        <w:t>5.2.1</w:t>
      </w:r>
      <w:r>
        <w:rPr>
          <w:rFonts w:hint="eastAsia" w:ascii="宋体" w:hAnsi="宋体" w:eastAsia="宋体" w:cs="宋体"/>
          <w:b w:val="0"/>
          <w:i w:val="0"/>
          <w:color w:val="000000"/>
          <w:spacing w:val="0"/>
          <w:sz w:val="24"/>
          <w:szCs w:val="24"/>
        </w:rPr>
        <w:t>结算金额=单品基准价×单品投标折扣率×实际单品供货量(基准价每个月确定一次，采购人每月对基准价信息进行核对)，</w:t>
      </w:r>
      <w:r>
        <w:rPr>
          <w:rFonts w:hint="eastAsia" w:ascii="宋体" w:hAnsi="宋体" w:eastAsia="宋体" w:cs="宋体"/>
          <w:b/>
          <w:i w:val="0"/>
          <w:color w:val="000000"/>
          <w:spacing w:val="0"/>
          <w:sz w:val="24"/>
          <w:szCs w:val="24"/>
        </w:rPr>
        <w:t>基准价参照县内大型商超(黄商、</w:t>
      </w:r>
      <w:r>
        <w:rPr>
          <w:rFonts w:hint="eastAsia" w:ascii="宋体" w:hAnsi="宋体" w:eastAsia="宋体" w:cs="宋体"/>
          <w:b/>
          <w:i w:val="0"/>
          <w:color w:val="000000"/>
          <w:spacing w:val="0"/>
          <w:sz w:val="24"/>
          <w:szCs w:val="24"/>
          <w:lang w:val="en-US" w:eastAsia="zh-CN"/>
        </w:rPr>
        <w:t>鹏泰</w:t>
      </w:r>
      <w:r>
        <w:rPr>
          <w:rFonts w:hint="eastAsia" w:ascii="宋体" w:hAnsi="宋体" w:eastAsia="宋体" w:cs="宋体"/>
          <w:b/>
          <w:i w:val="0"/>
          <w:color w:val="000000"/>
          <w:spacing w:val="0"/>
          <w:sz w:val="24"/>
          <w:szCs w:val="24"/>
        </w:rPr>
        <w:t>、及省市物价部门公布的价格)同类产品的价格。</w:t>
      </w:r>
    </w:p>
    <w:p w14:paraId="07594EE8">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lang w:val="en-US" w:eastAsia="zh-CN"/>
        </w:rPr>
        <w:t>5.2.2</w:t>
      </w:r>
      <w:r>
        <w:rPr>
          <w:rFonts w:hint="eastAsia" w:ascii="宋体" w:hAnsi="宋体" w:eastAsia="宋体" w:cs="宋体"/>
          <w:b w:val="0"/>
          <w:i w:val="0"/>
          <w:color w:val="000000"/>
          <w:spacing w:val="0"/>
          <w:sz w:val="24"/>
          <w:szCs w:val="24"/>
        </w:rPr>
        <w:t>结算时间：双方每月核对前一月货款，采购人按照经双方核对金额向中标人指定账户支付前一月货款(具体支付时间、方式、形式以合同签订为准)。</w:t>
      </w:r>
    </w:p>
    <w:p w14:paraId="44290E4E">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lang w:val="en-US" w:eastAsia="zh-CN"/>
        </w:rPr>
        <w:t>5.2.3</w:t>
      </w:r>
      <w:r>
        <w:rPr>
          <w:rFonts w:hint="eastAsia" w:ascii="宋体" w:hAnsi="宋体" w:eastAsia="宋体" w:cs="宋体"/>
          <w:b w:val="0"/>
          <w:i w:val="0"/>
          <w:color w:val="000000"/>
          <w:spacing w:val="0"/>
          <w:sz w:val="24"/>
          <w:szCs w:val="24"/>
        </w:rPr>
        <w:t>结算要求：配送完成后，中标人应根据实际配送核定数量进行汇总，并列出对账清单，对账清单应能明确各项内容(包括但不限于：各学校配额、实际配送数量、各产品单价、配送次数、配送总额等)，同时提供相应供货发票。</w:t>
      </w:r>
    </w:p>
    <w:p w14:paraId="47825D9D">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lang w:val="en-US" w:eastAsia="zh-CN"/>
        </w:rPr>
        <w:t>6、</w:t>
      </w:r>
      <w:r>
        <w:rPr>
          <w:rFonts w:hint="eastAsia" w:ascii="宋体" w:hAnsi="宋体" w:eastAsia="宋体" w:cs="宋体"/>
          <w:b w:val="0"/>
          <w:i w:val="0"/>
          <w:color w:val="000000"/>
          <w:spacing w:val="0"/>
          <w:sz w:val="24"/>
          <w:szCs w:val="24"/>
        </w:rPr>
        <w:t>供货数量：物资配送应严格按照采购人采购计划准备物资，不得随意增减供货数量，在送达采购人指定地点后，如达不到验收标准的，采购人有权对不合格的物资不予以验收及结算。</w:t>
      </w:r>
    </w:p>
    <w:p w14:paraId="501FFC99">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lang w:val="en-US" w:eastAsia="zh-CN"/>
        </w:rPr>
        <w:t>7</w:t>
      </w:r>
      <w:r>
        <w:rPr>
          <w:rFonts w:hint="eastAsia" w:ascii="宋体" w:hAnsi="宋体" w:eastAsia="宋体" w:cs="宋体"/>
          <w:b w:val="0"/>
          <w:i w:val="0"/>
          <w:color w:val="000000"/>
          <w:spacing w:val="0"/>
          <w:sz w:val="24"/>
          <w:szCs w:val="24"/>
        </w:rPr>
        <w:t>、应急配送：在配送工作中，如遇突发情况(如配送车辆故障、运输道路堵塞、自然灾害等)，合理的突发情况处置方案及措施，保障配送服务工作能在采购人规定的时间内完成。</w:t>
      </w:r>
    </w:p>
    <w:p w14:paraId="63052A38">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lang w:val="en-US" w:eastAsia="zh-CN"/>
        </w:rPr>
        <w:t>8</w:t>
      </w:r>
      <w:r>
        <w:rPr>
          <w:rFonts w:hint="eastAsia" w:ascii="宋体" w:hAnsi="宋体" w:eastAsia="宋体" w:cs="宋体"/>
          <w:b w:val="0"/>
          <w:i w:val="0"/>
          <w:color w:val="000000"/>
          <w:spacing w:val="0"/>
          <w:sz w:val="24"/>
          <w:szCs w:val="24"/>
        </w:rPr>
        <w:t>、投标人应严格遵守《中华人民共和国食品安全法》等相关规定，一经发现供货以下食品，除全部退货外，中标人承担由此造成的经济责任和法律责任：</w:t>
      </w:r>
    </w:p>
    <w:p w14:paraId="526DD624">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lang w:val="en-US" w:eastAsia="zh-CN"/>
        </w:rPr>
        <w:t>8.1</w:t>
      </w:r>
      <w:r>
        <w:rPr>
          <w:rFonts w:hint="eastAsia" w:ascii="宋体" w:hAnsi="宋体" w:eastAsia="宋体" w:cs="宋体"/>
          <w:b w:val="0"/>
          <w:i w:val="0"/>
          <w:color w:val="000000"/>
          <w:spacing w:val="0"/>
          <w:sz w:val="24"/>
          <w:szCs w:val="24"/>
        </w:rPr>
        <w:t>腐败变质、油脂酸败、霉变、生虫、污秽不洁、混油异物或其他感官性异常，对人体健康有害的。</w:t>
      </w:r>
    </w:p>
    <w:p w14:paraId="1AF057CF">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lang w:val="en-US" w:eastAsia="zh-CN"/>
        </w:rPr>
        <w:t>8.2</w:t>
      </w:r>
      <w:r>
        <w:rPr>
          <w:rFonts w:hint="eastAsia" w:ascii="宋体" w:hAnsi="宋体" w:eastAsia="宋体" w:cs="宋体"/>
          <w:b w:val="0"/>
          <w:i w:val="0"/>
          <w:color w:val="000000"/>
          <w:spacing w:val="0"/>
          <w:sz w:val="24"/>
          <w:szCs w:val="24"/>
        </w:rPr>
        <w:t>含有毒、有害物质或者被有害物质污染，对人体健康有害的。</w:t>
      </w:r>
    </w:p>
    <w:p w14:paraId="40E7E906">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lang w:val="en-US" w:eastAsia="zh-CN"/>
        </w:rPr>
        <w:t>8.3</w:t>
      </w:r>
      <w:r>
        <w:rPr>
          <w:rFonts w:hint="eastAsia" w:ascii="宋体" w:hAnsi="宋体" w:eastAsia="宋体" w:cs="宋体"/>
          <w:b w:val="0"/>
          <w:i w:val="0"/>
          <w:color w:val="000000"/>
          <w:spacing w:val="0"/>
          <w:sz w:val="24"/>
          <w:szCs w:val="24"/>
        </w:rPr>
        <w:t>掺假、掺杂、伪造，影响营养、卫生的。</w:t>
      </w:r>
    </w:p>
    <w:p w14:paraId="7BF4E80E">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lang w:val="en-US" w:eastAsia="zh-CN"/>
        </w:rPr>
        <w:t>8.4</w:t>
      </w:r>
      <w:r>
        <w:rPr>
          <w:rFonts w:hint="eastAsia" w:ascii="宋体" w:hAnsi="宋体" w:eastAsia="宋体" w:cs="宋体"/>
          <w:b w:val="0"/>
          <w:i w:val="0"/>
          <w:color w:val="000000"/>
          <w:spacing w:val="0"/>
          <w:sz w:val="24"/>
          <w:szCs w:val="24"/>
        </w:rPr>
        <w:t>用非食品原料加工的，加入非食品用化学物质或者将非食品当作食品的。</w:t>
      </w:r>
    </w:p>
    <w:p w14:paraId="6CBF43F6">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b w:val="0"/>
          <w:i w:val="0"/>
          <w:color w:val="000000"/>
          <w:spacing w:val="0"/>
          <w:sz w:val="24"/>
          <w:szCs w:val="24"/>
          <w:lang w:val="en-US" w:eastAsia="zh-CN"/>
        </w:rPr>
      </w:pPr>
      <w:r>
        <w:rPr>
          <w:rFonts w:hint="eastAsia" w:ascii="宋体" w:hAnsi="宋体" w:eastAsia="宋体" w:cs="宋体"/>
          <w:b w:val="0"/>
          <w:i w:val="0"/>
          <w:color w:val="000000"/>
          <w:spacing w:val="0"/>
          <w:sz w:val="24"/>
          <w:szCs w:val="24"/>
          <w:lang w:val="en-US" w:eastAsia="zh-CN"/>
        </w:rPr>
        <w:t>8.5</w:t>
      </w:r>
      <w:r>
        <w:rPr>
          <w:rFonts w:hint="eastAsia" w:ascii="宋体" w:hAnsi="宋体" w:eastAsia="宋体" w:cs="宋体"/>
          <w:b w:val="0"/>
          <w:i w:val="0"/>
          <w:color w:val="000000"/>
          <w:spacing w:val="0"/>
          <w:sz w:val="24"/>
          <w:szCs w:val="24"/>
        </w:rPr>
        <w:t>超过保质期限的。</w:t>
      </w:r>
    </w:p>
    <w:p w14:paraId="531BED8F">
      <w:pPr>
        <w:pStyle w:val="2"/>
        <w:pageBreakBefore w:val="0"/>
        <w:numPr>
          <w:ilvl w:val="0"/>
          <w:numId w:val="0"/>
        </w:numPr>
        <w:kinsoku/>
        <w:overflowPunct/>
        <w:topLinePunct w:val="0"/>
        <w:autoSpaceDE/>
        <w:autoSpaceDN/>
        <w:bidi w:val="0"/>
        <w:adjustRightInd/>
        <w:snapToGrid/>
        <w:spacing w:before="0" w:after="0" w:line="360" w:lineRule="auto"/>
        <w:ind w:left="0" w:leftChars="0" w:right="0" w:firstLine="482" w:firstLineChars="200"/>
        <w:rPr>
          <w:rFonts w:hint="eastAsia" w:ascii="宋体" w:hAnsi="宋体" w:eastAsia="宋体" w:cs="宋体"/>
          <w:sz w:val="24"/>
          <w:szCs w:val="24"/>
        </w:rPr>
      </w:pPr>
      <w:r>
        <w:rPr>
          <w:rFonts w:hint="eastAsia" w:ascii="宋体" w:hAnsi="宋体" w:eastAsia="宋体" w:cs="宋体"/>
          <w:b/>
          <w:bCs/>
          <w:kern w:val="2"/>
          <w:sz w:val="24"/>
          <w:szCs w:val="24"/>
          <w:lang w:val="en-US" w:eastAsia="zh-CN" w:bidi="ar-SA"/>
        </w:rPr>
        <w:t>（六）</w:t>
      </w:r>
      <w:r>
        <w:rPr>
          <w:rFonts w:hint="eastAsia" w:ascii="宋体" w:hAnsi="宋体" w:eastAsia="宋体" w:cs="宋体"/>
          <w:sz w:val="24"/>
          <w:szCs w:val="24"/>
        </w:rPr>
        <w:t>采购标的验收标准</w:t>
      </w:r>
      <w:bookmarkEnd w:id="70"/>
      <w:bookmarkEnd w:id="71"/>
      <w:bookmarkEnd w:id="72"/>
    </w:p>
    <w:p w14:paraId="36DC9317">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1、供货验收：投标人所供物资应按照产品食材等级、质量及包装，进行品种、质量验收。</w:t>
      </w:r>
    </w:p>
    <w:p w14:paraId="29D24751">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2、验收流程：采购人指派质量验收员，负责现场验收工作。质量验收员应严格按照产品食材等级、质量及包装进行物资数量、质量验收，填写验收记录，经投标人配送人员、采购人指派质量验收员签字确认即为完成配送工作。</w:t>
      </w:r>
    </w:p>
    <w:p w14:paraId="72DCEB77">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sz w:val="24"/>
          <w:szCs w:val="24"/>
          <w:highlight w:val="yellow"/>
        </w:rPr>
      </w:pPr>
      <w:r>
        <w:rPr>
          <w:rFonts w:hint="eastAsia" w:ascii="宋体" w:hAnsi="宋体" w:eastAsia="宋体" w:cs="宋体"/>
          <w:b w:val="0"/>
          <w:i w:val="0"/>
          <w:color w:val="000000"/>
          <w:spacing w:val="0"/>
          <w:sz w:val="24"/>
          <w:szCs w:val="24"/>
          <w:highlight w:val="none"/>
        </w:rPr>
        <w:t>3、采购人有权指派第三方检测机构对投标人提供的物资进行不定期抽检。采购人每天对投标人供应物资进行感官检验和抽样检测，若发现食品质量、规格等不合格，投标人必须无条件退货并按采购人规定时间内重新送货，不得影响采购人正常使用。因物资质量引发的其它问题，由投标人承担采购人全部损失，发生重大问题的将依法追究法律责任。</w:t>
      </w:r>
    </w:p>
    <w:p w14:paraId="45F8ADAF">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rPr>
        <w:t>4、如遇特殊情况(不受时间限定)，投标人在接到采购人临时采购需求后，应于1小时内将采购人所需物资保质、保量送到，不得额外增加加急费用等其他费用。</w:t>
      </w:r>
    </w:p>
    <w:p w14:paraId="37AC32D2">
      <w:pPr>
        <w:keepNext w:val="0"/>
        <w:keepLines w:val="0"/>
        <w:pageBreakBefore w:val="0"/>
        <w:widowControl/>
        <w:suppressLineNumbers w:val="0"/>
        <w:kinsoku/>
        <w:overflowPunct/>
        <w:topLinePunct w:val="0"/>
        <w:autoSpaceDE/>
        <w:autoSpaceDN/>
        <w:bidi w:val="0"/>
        <w:adjustRightInd/>
        <w:snapToGrid/>
        <w:spacing w:after="0" w:line="360" w:lineRule="auto"/>
        <w:ind w:left="0" w:leftChars="0"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5、采购人有权在发出中标通知书前（或合同签订前）对中标候选人（或中 </w:t>
      </w:r>
    </w:p>
    <w:p w14:paraId="4A78990A">
      <w:pPr>
        <w:keepNext w:val="0"/>
        <w:keepLines w:val="0"/>
        <w:pageBreakBefore w:val="0"/>
        <w:widowControl/>
        <w:suppressLineNumbers w:val="0"/>
        <w:kinsoku/>
        <w:overflowPunct/>
        <w:topLinePunct w:val="0"/>
        <w:autoSpaceDE/>
        <w:autoSpaceDN/>
        <w:bidi w:val="0"/>
        <w:adjustRightInd/>
        <w:snapToGrid/>
        <w:spacing w:after="0" w:line="360" w:lineRule="auto"/>
        <w:ind w:right="0"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标人）进行实地核查。核查依据为中标候选人（或中标人）投标文件中所作的承 诺及响应事项，核查内容包括但不限于：投标文件中承诺中标后的配送场地、团队人员、车辆配置。核查过程中，将对上述场地的实际使用面积进行核实，该面积须与投标人投标文件中对应评分项所提供的</w:t>
      </w:r>
      <w:r>
        <w:rPr>
          <w:rFonts w:hint="eastAsia" w:cs="宋体"/>
          <w:color w:val="000000"/>
          <w:kern w:val="0"/>
          <w:sz w:val="24"/>
          <w:szCs w:val="24"/>
          <w:lang w:val="en-US" w:eastAsia="zh-CN" w:bidi="ar"/>
        </w:rPr>
        <w:t>场地</w:t>
      </w:r>
      <w:r>
        <w:rPr>
          <w:rFonts w:hint="eastAsia" w:ascii="宋体" w:hAnsi="宋体" w:eastAsia="宋体" w:cs="宋体"/>
          <w:color w:val="000000"/>
          <w:kern w:val="0"/>
          <w:sz w:val="24"/>
          <w:szCs w:val="24"/>
          <w:lang w:val="en-US" w:eastAsia="zh-CN" w:bidi="ar"/>
        </w:rPr>
        <w:t>面积</w:t>
      </w:r>
      <w:r>
        <w:rPr>
          <w:rFonts w:hint="eastAsia" w:cs="宋体"/>
          <w:color w:val="000000"/>
          <w:kern w:val="0"/>
          <w:sz w:val="24"/>
          <w:szCs w:val="24"/>
          <w:lang w:val="en-US" w:eastAsia="zh-CN" w:bidi="ar"/>
        </w:rPr>
        <w:t>和配置</w:t>
      </w:r>
      <w:r>
        <w:rPr>
          <w:rFonts w:hint="eastAsia" w:ascii="宋体" w:hAnsi="宋体" w:eastAsia="宋体" w:cs="宋体"/>
          <w:color w:val="000000"/>
          <w:kern w:val="0"/>
          <w:sz w:val="24"/>
          <w:szCs w:val="24"/>
          <w:lang w:val="en-US" w:eastAsia="zh-CN" w:bidi="ar"/>
        </w:rPr>
        <w:t>保持一致。若经核查，中标人的实际情况（包括但不限于场地面积、设备配置、人员配备等）与投标文件内容不符，或存在虚假响应的， 采购人将依据相关法律法规，认定其属于‘提供虚假材料谋取中标’，并上报主管部门，采购人有权取消其中标资格，并保留追究其相关法律责任及进行相应处罚的权利。</w:t>
      </w:r>
    </w:p>
    <w:p w14:paraId="5C9FD549">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lang w:val="en-US" w:eastAsia="zh-CN"/>
        </w:rPr>
        <w:t>6</w:t>
      </w:r>
      <w:r>
        <w:rPr>
          <w:rFonts w:hint="eastAsia" w:ascii="宋体" w:hAnsi="宋体" w:eastAsia="宋体" w:cs="宋体"/>
          <w:b w:val="0"/>
          <w:i w:val="0"/>
          <w:color w:val="000000"/>
          <w:spacing w:val="0"/>
          <w:sz w:val="24"/>
          <w:szCs w:val="24"/>
        </w:rPr>
        <w:t>、售后服务</w:t>
      </w:r>
    </w:p>
    <w:p w14:paraId="5A0C9548">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b w:val="0"/>
          <w:i w:val="0"/>
          <w:color w:val="000000"/>
          <w:spacing w:val="0"/>
          <w:sz w:val="24"/>
          <w:szCs w:val="24"/>
        </w:rPr>
      </w:pPr>
      <w:r>
        <w:rPr>
          <w:rFonts w:hint="eastAsia" w:ascii="宋体" w:hAnsi="宋体" w:eastAsia="宋体" w:cs="宋体"/>
          <w:b w:val="0"/>
          <w:i w:val="0"/>
          <w:color w:val="000000"/>
          <w:spacing w:val="0"/>
          <w:sz w:val="24"/>
          <w:szCs w:val="24"/>
          <w:lang w:val="en-US" w:eastAsia="zh-CN"/>
        </w:rPr>
        <w:t>6.1</w:t>
      </w:r>
      <w:r>
        <w:rPr>
          <w:rFonts w:hint="eastAsia" w:ascii="宋体" w:hAnsi="宋体" w:eastAsia="宋体" w:cs="宋体"/>
          <w:b w:val="0"/>
          <w:i w:val="0"/>
          <w:color w:val="000000"/>
          <w:spacing w:val="0"/>
          <w:sz w:val="24"/>
          <w:szCs w:val="24"/>
        </w:rPr>
        <w:t>投标人应制定完善的配送及售后服务，投标人应有能满足本项目需求的服务网点、配送人员，建立 7×24 小时服务热线，定期为采购人提供有针对性的主动服务，保证 24 小时售后服务，及时响应并于 1 小时内到达现场服务。</w:t>
      </w:r>
    </w:p>
    <w:p w14:paraId="616B654E">
      <w:pPr>
        <w:pStyle w:val="2"/>
        <w:pageBreakBefore w:val="0"/>
        <w:numPr>
          <w:ilvl w:val="0"/>
          <w:numId w:val="0"/>
        </w:numPr>
        <w:kinsoku/>
        <w:overflowPunct/>
        <w:topLinePunct w:val="0"/>
        <w:autoSpaceDE/>
        <w:autoSpaceDN/>
        <w:bidi w:val="0"/>
        <w:adjustRightInd/>
        <w:snapToGrid/>
        <w:spacing w:before="0" w:after="0" w:line="360" w:lineRule="auto"/>
        <w:ind w:left="0" w:leftChars="0" w:right="0" w:firstLine="480" w:firstLineChars="200"/>
        <w:rPr>
          <w:rFonts w:hint="eastAsia" w:ascii="宋体" w:hAnsi="宋体" w:eastAsia="宋体" w:cs="宋体"/>
          <w:b w:val="0"/>
          <w:bCs w:val="0"/>
          <w:i w:val="0"/>
          <w:color w:val="000000"/>
          <w:spacing w:val="0"/>
          <w:kern w:val="2"/>
          <w:sz w:val="24"/>
          <w:szCs w:val="24"/>
          <w:lang w:val="en-US" w:eastAsia="zh-CN" w:bidi="ar-SA"/>
        </w:rPr>
      </w:pPr>
      <w:r>
        <w:rPr>
          <w:rFonts w:hint="eastAsia" w:ascii="宋体" w:hAnsi="宋体" w:eastAsia="宋体" w:cs="宋体"/>
          <w:b w:val="0"/>
          <w:bCs w:val="0"/>
          <w:i w:val="0"/>
          <w:color w:val="000000"/>
          <w:spacing w:val="0"/>
          <w:kern w:val="2"/>
          <w:sz w:val="24"/>
          <w:szCs w:val="24"/>
          <w:lang w:val="en-US" w:eastAsia="zh-CN" w:bidi="ar-SA"/>
        </w:rPr>
        <w:t>6.2建立食材追溯系统，实现从采购、生产、检测到配送的全流程可追溯，招标人可随时查询相关信息。</w:t>
      </w:r>
    </w:p>
    <w:p w14:paraId="1FE5F4A6">
      <w:pPr>
        <w:pStyle w:val="2"/>
        <w:pageBreakBefore w:val="0"/>
        <w:numPr>
          <w:ilvl w:val="0"/>
          <w:numId w:val="0"/>
        </w:numPr>
        <w:kinsoku/>
        <w:overflowPunct/>
        <w:topLinePunct w:val="0"/>
        <w:autoSpaceDE/>
        <w:autoSpaceDN/>
        <w:bidi w:val="0"/>
        <w:adjustRightInd/>
        <w:snapToGrid/>
        <w:spacing w:before="0" w:after="0" w:line="360" w:lineRule="auto"/>
        <w:ind w:left="0" w:leftChars="0" w:right="0"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（七）其他要求</w:t>
      </w:r>
    </w:p>
    <w:p w14:paraId="00C18540">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1、本次招标采购服务的货物是有固定的原材料供货渠道的货物。</w:t>
      </w:r>
    </w:p>
    <w:p w14:paraId="623FC2FC">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2、投标人如对某些非实质性条款不响应或有偏离时，应在投标文件中逐条列出并加以说明，否则视为响应。实质性条款必须响应且投标文件中必须标明，否则将被定为无效投标。</w:t>
      </w:r>
    </w:p>
    <w:p w14:paraId="03D4AE23">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3、投标人须按采购人需求的容量、级别、形态、要求配送。</w:t>
      </w:r>
    </w:p>
    <w:p w14:paraId="17843058">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4、投标人不能满足供货要求时，应提前1个月通知采购人，经同意后方可终止合同。</w:t>
      </w:r>
    </w:p>
    <w:p w14:paraId="40D1DF16">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5、因产品质量问题发生的食物中毒等事故和配送过程中发生的任何安全事故，由中标人承担经济赔偿责任以及其他法律责任。</w:t>
      </w:r>
    </w:p>
    <w:p w14:paraId="6CDB245A">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b w:val="0"/>
          <w:i w:val="0"/>
          <w:color w:val="000000"/>
          <w:spacing w:val="0"/>
          <w:sz w:val="24"/>
          <w:szCs w:val="24"/>
        </w:rPr>
        <w:t>6、投标人应保证所提供的产品是合格安全的产品，一旦发现伪劣假冒产品、以次充好产品或替代产品，投标人承担全部法律责任。</w:t>
      </w:r>
    </w:p>
    <w:p w14:paraId="524474A1">
      <w:pPr>
        <w:pageBreakBefore w:val="0"/>
        <w:kinsoku/>
        <w:wordWrap w:val="0"/>
        <w:overflowPunct/>
        <w:topLinePunct w:val="0"/>
        <w:autoSpaceDE/>
        <w:autoSpaceDN/>
        <w:bidi w:val="0"/>
        <w:adjustRightInd/>
        <w:snapToGrid/>
        <w:spacing w:after="0" w:line="360" w:lineRule="auto"/>
        <w:ind w:left="0" w:leftChars="0" w:right="0" w:firstLine="480" w:firstLineChars="200"/>
        <w:jc w:val="both"/>
        <w:textAlignment w:val="baseline"/>
        <w:rPr>
          <w:rFonts w:hint="eastAsia" w:ascii="宋体" w:hAnsi="宋体" w:eastAsia="宋体" w:cs="宋体"/>
          <w:sz w:val="24"/>
          <w:szCs w:val="24"/>
          <w:lang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val="0"/>
          <w:i w:val="0"/>
          <w:color w:val="000000"/>
          <w:spacing w:val="0"/>
          <w:sz w:val="24"/>
          <w:szCs w:val="24"/>
        </w:rPr>
        <w:t>7、投标人必须按照食堂管理人员通知的时间、数量、品种、品质要求准时送货，经验收合格后签字确认，不能以任何理由推托，一旦影响到食堂的正常运转，投标人应承担相应的经济赔偿</w:t>
      </w:r>
      <w:r>
        <w:rPr>
          <w:rFonts w:hint="eastAsia" w:ascii="宋体" w:hAnsi="宋体" w:eastAsia="宋体" w:cs="宋体"/>
          <w:b w:val="0"/>
          <w:i w:val="0"/>
          <w:color w:val="000000"/>
          <w:spacing w:val="0"/>
          <w:sz w:val="24"/>
          <w:szCs w:val="24"/>
          <w:lang w:eastAsia="zh-CN"/>
        </w:rPr>
        <w:t>。</w:t>
      </w:r>
      <w:bookmarkStart w:id="73" w:name="_GoBack"/>
      <w:bookmarkEnd w:id="73"/>
    </w:p>
    <w:p w14:paraId="350855D8">
      <w:pPr>
        <w:pStyle w:val="7"/>
        <w:keepNext w:val="0"/>
        <w:keepLines w:val="0"/>
        <w:pageBreakBefore w:val="0"/>
        <w:kinsoku/>
        <w:overflowPunct/>
        <w:topLinePunct w:val="0"/>
        <w:autoSpaceDE/>
        <w:autoSpaceDN/>
        <w:bidi w:val="0"/>
        <w:spacing w:line="360" w:lineRule="auto"/>
        <w:textAlignment w:val="auto"/>
        <w:rPr>
          <w:rFonts w:hint="eastAsia" w:ascii="宋体" w:hAnsi="宋体" w:eastAsia="宋体" w:cs="宋体"/>
          <w:sz w:val="24"/>
          <w:szCs w:val="24"/>
          <w:lang w:val="en-US" w:eastAsia="zh-CN"/>
        </w:rPr>
      </w:pPr>
    </w:p>
    <w:sectPr>
      <w:pgSz w:w="11907" w:h="16840"/>
      <w:pgMar w:top="1440" w:right="1800" w:bottom="1440" w:left="1800" w:header="680" w:footer="907" w:gutter="0"/>
      <w:pgNumType w:fmt="decimal" w:start="0"/>
      <w:cols w:space="0" w:num="1"/>
      <w:titlePg/>
      <w:rtlGutter w:val="0"/>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NDI5MGViNzg0OWFhNDZiYTZlYTE0Mzg1NWExNDYifQ=="/>
  </w:docVars>
  <w:rsids>
    <w:rsidRoot w:val="00000000"/>
    <w:rsid w:val="0B6D28AB"/>
    <w:rsid w:val="1FB92403"/>
    <w:rsid w:val="4E9E0E39"/>
    <w:rsid w:val="57A73BFB"/>
    <w:rsid w:val="65A77EDD"/>
    <w:rsid w:val="764F3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3"/>
    <w:unhideWhenUsed/>
    <w:qFormat/>
    <w:uiPriority w:val="9"/>
    <w:pPr>
      <w:keepNext/>
      <w:keepLines/>
      <w:spacing w:before="260" w:after="260" w:line="416" w:lineRule="auto"/>
      <w:outlineLvl w:val="1"/>
    </w:pPr>
    <w:rPr>
      <w:rFonts w:asciiTheme="majorHAnsi" w:hAnsiTheme="majorHAnsi" w:cstheme="majorBidi"/>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szCs w:val="20"/>
    </w:rPr>
  </w:style>
  <w:style w:type="paragraph" w:styleId="4">
    <w:name w:val="Body Text"/>
    <w:basedOn w:val="1"/>
    <w:next w:val="5"/>
    <w:unhideWhenUsed/>
    <w:qFormat/>
    <w:uiPriority w:val="0"/>
    <w:pPr>
      <w:tabs>
        <w:tab w:val="left" w:pos="567"/>
      </w:tabs>
      <w:spacing w:before="120" w:line="22" w:lineRule="atLeast"/>
    </w:pPr>
    <w:rPr>
      <w:rFonts w:ascii="宋体" w:hAnsi="宋体"/>
      <w:sz w:val="24"/>
    </w:rPr>
  </w:style>
  <w:style w:type="paragraph" w:customStyle="1" w:styleId="5">
    <w:name w:val="日期_0"/>
    <w:basedOn w:val="6"/>
    <w:next w:val="6"/>
    <w:autoRedefine/>
    <w:unhideWhenUsed/>
    <w:qFormat/>
    <w:uiPriority w:val="99"/>
    <w:pPr>
      <w:ind w:firstLine="0" w:firstLineChars="0"/>
    </w:pPr>
    <w:rPr>
      <w:rFonts w:ascii="Times New Roman" w:hAnsi="Times New Roman" w:cs="Times New Roman"/>
      <w:sz w:val="21"/>
      <w:szCs w:val="24"/>
    </w:rPr>
  </w:style>
  <w:style w:type="paragraph" w:customStyle="1" w:styleId="6">
    <w:name w:val="正文_0"/>
    <w:autoRedefine/>
    <w:qFormat/>
    <w:uiPriority w:val="3"/>
    <w:pPr>
      <w:widowControl w:val="0"/>
      <w:ind w:firstLine="560" w:firstLineChars="200"/>
      <w:jc w:val="both"/>
    </w:pPr>
    <w:rPr>
      <w:rFonts w:ascii="Calibri" w:hAnsi="Calibri" w:eastAsia="微软雅黑" w:cs="Times New Roman"/>
      <w:kern w:val="2"/>
      <w:sz w:val="28"/>
      <w:szCs w:val="28"/>
      <w:lang w:val="en-US" w:eastAsia="zh-CN" w:bidi="ar-SA"/>
    </w:rPr>
  </w:style>
  <w:style w:type="paragraph" w:styleId="7">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next w:val="1"/>
    <w:qFormat/>
    <w:uiPriority w:val="0"/>
    <w:pPr>
      <w:spacing w:after="60"/>
      <w:jc w:val="left"/>
      <w:outlineLvl w:val="0"/>
    </w:pPr>
    <w:rPr>
      <w:rFonts w:ascii="等线 Light" w:hAnsi="等线 Light" w:eastAsia="黑体"/>
      <w:b/>
      <w:bCs/>
      <w:sz w:val="24"/>
      <w:szCs w:val="32"/>
    </w:rPr>
  </w:style>
  <w:style w:type="paragraph" w:customStyle="1" w:styleId="11">
    <w:name w:val="Default"/>
    <w:basedOn w:val="1"/>
    <w:qFormat/>
    <w:uiPriority w:val="0"/>
    <w:pPr>
      <w:autoSpaceDE w:val="0"/>
      <w:autoSpaceDN w:val="0"/>
      <w:jc w:val="left"/>
    </w:pPr>
    <w:rPr>
      <w:rFonts w:hint="eastAsia" w:ascii="宋体" w:hAnsi="宋体"/>
      <w:color w:val="000000"/>
      <w:kern w:val="0"/>
      <w:sz w:val="24"/>
    </w:rPr>
  </w:style>
  <w:style w:type="paragraph" w:customStyle="1" w:styleId="12">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13">
    <w:name w:val="List Paragraph"/>
    <w:basedOn w:val="1"/>
    <w:qFormat/>
    <w:uiPriority w:val="1"/>
    <w:pPr>
      <w:ind w:left="925" w:hanging="577"/>
    </w:pPr>
    <w:rPr>
      <w:rFonts w:ascii="宋体" w:hAnsi="宋体" w:eastAsia="宋体" w:cs="宋体"/>
      <w:lang w:val="zh-CN" w:eastAsia="zh-CN" w:bidi="zh-CN"/>
    </w:rPr>
  </w:style>
  <w:style w:type="character" w:customStyle="1" w:styleId="14">
    <w:name w:val="font01"/>
    <w:basedOn w:val="10"/>
    <w:qFormat/>
    <w:uiPriority w:val="0"/>
    <w:rPr>
      <w:rFonts w:hint="eastAsia" w:ascii="宋体" w:hAnsi="宋体" w:eastAsia="宋体" w:cs="宋体"/>
      <w:color w:val="000000"/>
      <w:sz w:val="24"/>
      <w:szCs w:val="24"/>
      <w:u w:val="none"/>
    </w:rPr>
  </w:style>
  <w:style w:type="character" w:customStyle="1" w:styleId="15">
    <w:name w:val="font41"/>
    <w:basedOn w:val="10"/>
    <w:qFormat/>
    <w:uiPriority w:val="0"/>
    <w:rPr>
      <w:rFonts w:hint="default" w:ascii="Arial" w:hAnsi="Arial" w:cs="Arial"/>
      <w:color w:val="000000"/>
      <w:sz w:val="24"/>
      <w:szCs w:val="24"/>
      <w:u w:val="none"/>
    </w:rPr>
  </w:style>
  <w:style w:type="character" w:customStyle="1" w:styleId="16">
    <w:name w:val="font21"/>
    <w:basedOn w:val="10"/>
    <w:qFormat/>
    <w:uiPriority w:val="0"/>
    <w:rPr>
      <w:rFonts w:hint="eastAsia" w:ascii="宋体" w:hAnsi="宋体" w:eastAsia="宋体" w:cs="宋体"/>
      <w:color w:val="000000"/>
      <w:sz w:val="24"/>
      <w:szCs w:val="24"/>
      <w:u w:val="none"/>
      <w:vertAlign w:val="superscript"/>
    </w:rPr>
  </w:style>
  <w:style w:type="paragraph" w:customStyle="1" w:styleId="17">
    <w:name w:val="正文缩进2"/>
    <w:basedOn w:val="1"/>
    <w:autoRedefine/>
    <w:qFormat/>
    <w:uiPriority w:val="0"/>
    <w:pPr>
      <w:wordWrap w:val="0"/>
      <w:ind w:firstLine="480"/>
    </w:pPr>
    <w:rPr>
      <w:iCs/>
      <w:shd w:val="clear" w:color="auto" w:fill="FFFFFF" w:themeFill="background1"/>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3450</Words>
  <Characters>3928</Characters>
  <Lines>0</Lines>
  <Paragraphs>0</Paragraphs>
  <TotalTime>3</TotalTime>
  <ScaleCrop>false</ScaleCrop>
  <LinksUpToDate>false</LinksUpToDate>
  <CharactersWithSpaces>3982</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2022-12-05T01:09:00Z</dcterms:created>
  <dc:creator>Administrator</dc:creator>
  <cp:lastModifiedBy>稳稳的幸福</cp:lastModifiedBy>
  <dcterms:modified xsi:type="dcterms:W3CDTF">2026-07-20T04:10:24Z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B54321F07CA54B65A50EDA7B8A1D3559</vt:lpwstr>
  </property>
  <property fmtid="{D5CDD505-2E9C-101B-9397-08002B2CF9AE}" pid="4" name="KSOTemplateDocerSaveRecord">
    <vt:lpwstr>eyJoZGlkIjoiZGRhNDUwNTI4ZTI3MmU2NzE5NTdhMDI4MjYyMDNhYzEiLCJ1c2VySWQiOiI5NjkzMjUxMTYifQ==</vt:lpwstr>
  </property>
</Properties>
</file>