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66C40">
      <w:pPr>
        <w:pStyle w:val="11"/>
        <w:spacing w:line="360" w:lineRule="auto"/>
        <w:ind w:left="0" w:leftChars="0" w:firstLine="0" w:firstLineChars="0"/>
        <w:jc w:val="center"/>
        <w:outlineLvl w:val="0"/>
        <w:rPr>
          <w:rFonts w:ascii="宋体" w:hAnsi="宋体" w:cs="宋体"/>
          <w:b/>
          <w:bCs/>
          <w:color w:val="auto"/>
          <w:sz w:val="32"/>
          <w:szCs w:val="32"/>
          <w:highlight w:val="none"/>
        </w:rPr>
      </w:pPr>
      <w:r>
        <w:rPr>
          <w:rFonts w:hint="eastAsia" w:ascii="宋体" w:hAnsi="宋体" w:cs="宋体"/>
          <w:b/>
          <w:bCs/>
          <w:color w:val="auto"/>
          <w:sz w:val="32"/>
          <w:szCs w:val="32"/>
          <w:highlight w:val="none"/>
        </w:rPr>
        <w:t>采购需求</w:t>
      </w:r>
    </w:p>
    <w:p w14:paraId="5749C4C3">
      <w:pPr>
        <w:keepNext w:val="0"/>
        <w:keepLines w:val="0"/>
        <w:pageBreakBefore w:val="0"/>
        <w:kinsoku/>
        <w:wordWrap/>
        <w:overflowPunct/>
        <w:topLinePunct w:val="0"/>
        <w:autoSpaceDE/>
        <w:autoSpaceDN/>
        <w:bidi w:val="0"/>
        <w:adjustRightInd/>
        <w:snapToGrid/>
        <w:spacing w:after="0" w:line="500" w:lineRule="exact"/>
        <w:ind w:firstLine="482" w:firstLineChars="200"/>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一、采购内容</w:t>
      </w:r>
    </w:p>
    <w:p w14:paraId="2D08DDEB">
      <w:pPr>
        <w:keepNext w:val="0"/>
        <w:keepLines w:val="0"/>
        <w:pageBreakBefore w:val="0"/>
        <w:kinsoku/>
        <w:wordWrap/>
        <w:overflowPunct/>
        <w:topLinePunct w:val="0"/>
        <w:autoSpaceDE/>
        <w:autoSpaceDN/>
        <w:bidi w:val="0"/>
        <w:adjustRightInd/>
        <w:snapToGrid/>
        <w:spacing w:after="0" w:line="500" w:lineRule="exact"/>
        <w:ind w:firstLine="480" w:firstLineChars="200"/>
        <w:rPr>
          <w:rFonts w:hint="eastAsia" w:ascii="宋体" w:hAnsi="宋体" w:eastAsia="宋体" w:cs="宋体"/>
          <w:bCs/>
          <w:color w:val="FF0000"/>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接受委托，对黄梅县政府投资项目预（概）算和竣工决（结）算等进行政策性、技</w:t>
      </w:r>
      <w:r>
        <w:rPr>
          <w:rFonts w:hint="eastAsia" w:ascii="宋体" w:hAnsi="宋体" w:eastAsia="宋体" w:cs="宋体"/>
          <w:color w:val="000000" w:themeColor="text1"/>
          <w:sz w:val="24"/>
          <w:szCs w:val="24"/>
          <w:highlight w:val="none"/>
          <w14:textFill>
            <w14:solidFill>
              <w14:schemeClr w14:val="tx1"/>
            </w14:solidFill>
          </w14:textFill>
        </w:rPr>
        <w:t>术性、经济性的评价与审查，并出具评审报告及对项目投资提出合理化建议。</w:t>
      </w:r>
      <w:r>
        <w:rPr>
          <w:rFonts w:hint="eastAsia" w:ascii="宋体" w:hAnsi="宋体" w:eastAsia="宋体" w:cs="宋体"/>
          <w:bCs/>
          <w:color w:val="000000" w:themeColor="text1"/>
          <w:sz w:val="24"/>
          <w:szCs w:val="24"/>
          <w:highlight w:val="none"/>
          <w14:textFill>
            <w14:solidFill>
              <w14:schemeClr w14:val="tx1"/>
            </w14:solidFill>
          </w14:textFill>
        </w:rPr>
        <w:t>预计202</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6</w:t>
      </w:r>
      <w:r>
        <w:rPr>
          <w:rFonts w:hint="eastAsia" w:ascii="宋体" w:hAnsi="宋体" w:eastAsia="宋体" w:cs="宋体"/>
          <w:bCs/>
          <w:color w:val="000000" w:themeColor="text1"/>
          <w:sz w:val="24"/>
          <w:szCs w:val="24"/>
          <w:highlight w:val="none"/>
          <w14:textFill>
            <w14:solidFill>
              <w14:schemeClr w14:val="tx1"/>
            </w14:solidFill>
          </w14:textFill>
        </w:rPr>
        <w:t>年预（概）算项目约</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1</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00 </w:t>
      </w:r>
      <w:r>
        <w:rPr>
          <w:rFonts w:hint="eastAsia" w:ascii="宋体" w:hAnsi="宋体" w:eastAsia="宋体" w:cs="宋体"/>
          <w:bCs/>
          <w:color w:val="000000" w:themeColor="text1"/>
          <w:sz w:val="24"/>
          <w:szCs w:val="24"/>
          <w:highlight w:val="none"/>
          <w14:textFill>
            <w14:solidFill>
              <w14:schemeClr w14:val="tx1"/>
            </w14:solidFill>
          </w14:textFill>
        </w:rPr>
        <w:t>个、竣工决（结）算项目约</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0 </w:t>
      </w:r>
      <w:r>
        <w:rPr>
          <w:rFonts w:hint="eastAsia" w:ascii="宋体" w:hAnsi="宋体" w:eastAsia="宋体" w:cs="宋体"/>
          <w:bCs/>
          <w:color w:val="000000" w:themeColor="text1"/>
          <w:sz w:val="24"/>
          <w:szCs w:val="24"/>
          <w:highlight w:val="none"/>
          <w14:textFill>
            <w14:solidFill>
              <w14:schemeClr w14:val="tx1"/>
            </w14:solidFill>
          </w14:textFill>
        </w:rPr>
        <w:t>个。</w:t>
      </w:r>
    </w:p>
    <w:p w14:paraId="5417049C">
      <w:pPr>
        <w:keepNext w:val="0"/>
        <w:keepLines w:val="0"/>
        <w:pageBreakBefore w:val="0"/>
        <w:kinsoku/>
        <w:wordWrap/>
        <w:overflowPunct/>
        <w:topLinePunct w:val="0"/>
        <w:autoSpaceDE/>
        <w:autoSpaceDN/>
        <w:bidi w:val="0"/>
        <w:adjustRightInd/>
        <w:snapToGrid/>
        <w:spacing w:after="0" w:line="500" w:lineRule="exact"/>
        <w:ind w:firstLine="512"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8"/>
          <w:sz w:val="24"/>
          <w:szCs w:val="24"/>
          <w:highlight w:val="none"/>
          <w:shd w:val="clear" w:color="auto" w:fill="FFFFFF"/>
          <w:lang w:val="en-US" w:eastAsia="zh-CN"/>
        </w:rPr>
        <w:t>2、</w:t>
      </w:r>
      <w:r>
        <w:rPr>
          <w:rFonts w:hint="eastAsia" w:ascii="宋体" w:hAnsi="宋体" w:eastAsia="宋体" w:cs="宋体"/>
          <w:color w:val="auto"/>
          <w:spacing w:val="8"/>
          <w:sz w:val="24"/>
          <w:szCs w:val="24"/>
          <w:highlight w:val="none"/>
          <w:shd w:val="clear" w:color="auto" w:fill="FFFFFF"/>
        </w:rPr>
        <w:t>框架协议有效期（服务</w:t>
      </w:r>
      <w:r>
        <w:rPr>
          <w:rFonts w:hint="eastAsia" w:ascii="宋体" w:hAnsi="宋体" w:eastAsia="宋体" w:cs="宋体"/>
          <w:bCs/>
          <w:color w:val="auto"/>
          <w:sz w:val="24"/>
          <w:szCs w:val="24"/>
          <w:highlight w:val="none"/>
        </w:rPr>
        <w:t>期限)：</w:t>
      </w:r>
      <w:r>
        <w:rPr>
          <w:rFonts w:hint="eastAsia" w:ascii="宋体" w:hAnsi="宋体" w:eastAsia="宋体" w:cs="宋体"/>
          <w:color w:val="auto"/>
          <w:sz w:val="24"/>
          <w:szCs w:val="24"/>
          <w:highlight w:val="none"/>
        </w:rPr>
        <w:t>2年（以框架协议签订时间为准）</w:t>
      </w:r>
      <w:r>
        <w:rPr>
          <w:rFonts w:hint="eastAsia" w:ascii="宋体" w:hAnsi="宋体" w:eastAsia="宋体" w:cs="宋体"/>
          <w:color w:val="auto"/>
          <w:sz w:val="24"/>
          <w:szCs w:val="24"/>
          <w:highlight w:val="none"/>
          <w:lang w:eastAsia="zh-CN"/>
        </w:rPr>
        <w:t>。</w:t>
      </w:r>
      <w:bookmarkStart w:id="0" w:name="_GoBack"/>
      <w:bookmarkEnd w:id="0"/>
    </w:p>
    <w:p w14:paraId="751C2ED3">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 财政投资评审内容主要包括</w:t>
      </w:r>
    </w:p>
    <w:p w14:paraId="0F868C16">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1、项目预（概）算、竣工决（结）算的真实性、准确性、完整性和时效性；</w:t>
      </w:r>
    </w:p>
    <w:p w14:paraId="5D0FAE71">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2、项目基本建设程序的合规性和基本建设管理制度的执行情况；</w:t>
      </w:r>
    </w:p>
    <w:p w14:paraId="080AD2FD">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3、项目招标方式、招标程序、征集文件、各项合同的合法性、合规性；</w:t>
      </w:r>
    </w:p>
    <w:p w14:paraId="24E29BAB">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4、工程建设各项支付的合规性、合理性、准确性；  </w:t>
      </w:r>
    </w:p>
    <w:p w14:paraId="457B9CC9">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5、项目资金筹集、使用、管理情况；                                  </w:t>
      </w:r>
    </w:p>
    <w:p w14:paraId="265EB10C">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6、项目政府采购情况；</w:t>
      </w:r>
    </w:p>
    <w:p w14:paraId="6CA8AD98">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7、项目预（概）算执行情况以及项目实施过程中发生的重大设计变更等情况；</w:t>
      </w:r>
    </w:p>
    <w:p w14:paraId="1E07EEFA">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8、其他需要评审的内容。</w:t>
      </w:r>
    </w:p>
    <w:p w14:paraId="3B00B790">
      <w:pPr>
        <w:keepNext w:val="0"/>
        <w:keepLines w:val="0"/>
        <w:pageBreakBefore w:val="0"/>
        <w:kinsoku/>
        <w:wordWrap/>
        <w:overflowPunct/>
        <w:topLinePunct w:val="0"/>
        <w:autoSpaceDE/>
        <w:autoSpaceDN/>
        <w:bidi w:val="0"/>
        <w:adjustRightInd/>
        <w:snapToGrid/>
        <w:spacing w:after="0" w:line="500" w:lineRule="exact"/>
        <w:ind w:firstLine="482" w:firstLineChars="200"/>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rPr>
        <w:t>三、项目评审</w:t>
      </w:r>
      <w:r>
        <w:rPr>
          <w:rFonts w:hint="eastAsia" w:ascii="宋体" w:hAnsi="宋体" w:eastAsia="宋体" w:cs="宋体"/>
          <w:b/>
          <w:color w:val="auto"/>
          <w:sz w:val="24"/>
          <w:szCs w:val="24"/>
          <w:highlight w:val="none"/>
          <w:lang w:val="en-US" w:eastAsia="zh-CN"/>
        </w:rPr>
        <w:t>时限（按照前段时间要求）</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2"/>
        <w:gridCol w:w="2441"/>
        <w:gridCol w:w="2040"/>
        <w:gridCol w:w="2520"/>
      </w:tblGrid>
      <w:tr w14:paraId="03D39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12" w:type="dxa"/>
            <w:vAlign w:val="center"/>
          </w:tcPr>
          <w:p w14:paraId="689B44FA">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序号</w:t>
            </w:r>
          </w:p>
        </w:tc>
        <w:tc>
          <w:tcPr>
            <w:tcW w:w="2441" w:type="dxa"/>
            <w:vAlign w:val="center"/>
          </w:tcPr>
          <w:p w14:paraId="59F800AE">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项目总投资额</w:t>
            </w:r>
          </w:p>
        </w:tc>
        <w:tc>
          <w:tcPr>
            <w:tcW w:w="2040" w:type="dxa"/>
            <w:vAlign w:val="center"/>
          </w:tcPr>
          <w:p w14:paraId="01EA2CA8">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预算评审时间</w:t>
            </w:r>
          </w:p>
        </w:tc>
        <w:tc>
          <w:tcPr>
            <w:tcW w:w="2520" w:type="dxa"/>
            <w:vAlign w:val="center"/>
          </w:tcPr>
          <w:p w14:paraId="4F321E5B">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竣工结算评审时间</w:t>
            </w:r>
          </w:p>
        </w:tc>
      </w:tr>
      <w:tr w14:paraId="74314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12" w:type="dxa"/>
            <w:vAlign w:val="center"/>
          </w:tcPr>
          <w:p w14:paraId="0E32B26B">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w:t>
            </w:r>
          </w:p>
        </w:tc>
        <w:tc>
          <w:tcPr>
            <w:tcW w:w="2441" w:type="dxa"/>
            <w:vAlign w:val="center"/>
          </w:tcPr>
          <w:p w14:paraId="0F20DF8D">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100～500万（含）</w:t>
            </w:r>
          </w:p>
        </w:tc>
        <w:tc>
          <w:tcPr>
            <w:tcW w:w="2040" w:type="dxa"/>
            <w:vAlign w:val="center"/>
          </w:tcPr>
          <w:p w14:paraId="5594E2EF">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5个工作日</w:t>
            </w:r>
          </w:p>
        </w:tc>
        <w:tc>
          <w:tcPr>
            <w:tcW w:w="2520" w:type="dxa"/>
            <w:vAlign w:val="center"/>
          </w:tcPr>
          <w:p w14:paraId="6990A276">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7个工作日</w:t>
            </w:r>
          </w:p>
        </w:tc>
      </w:tr>
      <w:tr w14:paraId="2D3D7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12" w:type="dxa"/>
            <w:vAlign w:val="center"/>
          </w:tcPr>
          <w:p w14:paraId="5064B977">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w:t>
            </w:r>
          </w:p>
        </w:tc>
        <w:tc>
          <w:tcPr>
            <w:tcW w:w="2441" w:type="dxa"/>
            <w:vAlign w:val="center"/>
          </w:tcPr>
          <w:p w14:paraId="26CF1F56">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500～3000万</w:t>
            </w:r>
          </w:p>
        </w:tc>
        <w:tc>
          <w:tcPr>
            <w:tcW w:w="2040" w:type="dxa"/>
            <w:vAlign w:val="center"/>
          </w:tcPr>
          <w:p w14:paraId="10FB04F1">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7个工作日</w:t>
            </w:r>
          </w:p>
        </w:tc>
        <w:tc>
          <w:tcPr>
            <w:tcW w:w="2520" w:type="dxa"/>
            <w:vAlign w:val="center"/>
          </w:tcPr>
          <w:p w14:paraId="756C0745">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10个工作日</w:t>
            </w:r>
          </w:p>
        </w:tc>
      </w:tr>
      <w:tr w14:paraId="06389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12" w:type="dxa"/>
            <w:vAlign w:val="center"/>
          </w:tcPr>
          <w:p w14:paraId="4E5C9B87">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w:t>
            </w:r>
          </w:p>
        </w:tc>
        <w:tc>
          <w:tcPr>
            <w:tcW w:w="2441" w:type="dxa"/>
            <w:vAlign w:val="center"/>
          </w:tcPr>
          <w:p w14:paraId="4A2DEE95">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3000～1亿</w:t>
            </w:r>
          </w:p>
        </w:tc>
        <w:tc>
          <w:tcPr>
            <w:tcW w:w="2040" w:type="dxa"/>
            <w:vAlign w:val="center"/>
          </w:tcPr>
          <w:p w14:paraId="5F03E03E">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10个工作日</w:t>
            </w:r>
          </w:p>
        </w:tc>
        <w:tc>
          <w:tcPr>
            <w:tcW w:w="2520" w:type="dxa"/>
            <w:vAlign w:val="center"/>
          </w:tcPr>
          <w:p w14:paraId="1E3F64B5">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15个工作日</w:t>
            </w:r>
          </w:p>
        </w:tc>
      </w:tr>
      <w:tr w14:paraId="4D2B3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12" w:type="dxa"/>
            <w:vAlign w:val="center"/>
          </w:tcPr>
          <w:p w14:paraId="17C4025B">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w:t>
            </w:r>
          </w:p>
        </w:tc>
        <w:tc>
          <w:tcPr>
            <w:tcW w:w="2441" w:type="dxa"/>
            <w:vAlign w:val="center"/>
          </w:tcPr>
          <w:p w14:paraId="060483AB">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1亿以上</w:t>
            </w:r>
          </w:p>
        </w:tc>
        <w:tc>
          <w:tcPr>
            <w:tcW w:w="2040" w:type="dxa"/>
            <w:vAlign w:val="center"/>
          </w:tcPr>
          <w:p w14:paraId="0C7A9E3B">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14个工作日</w:t>
            </w:r>
          </w:p>
        </w:tc>
        <w:tc>
          <w:tcPr>
            <w:tcW w:w="2520" w:type="dxa"/>
            <w:vAlign w:val="center"/>
          </w:tcPr>
          <w:p w14:paraId="12C91994">
            <w:pPr>
              <w:keepNext w:val="0"/>
              <w:keepLines w:val="0"/>
              <w:pageBreakBefore w:val="0"/>
              <w:widowControl w:val="0"/>
              <w:kinsoku/>
              <w:wordWrap/>
              <w:overflowPunct/>
              <w:topLinePunct w:val="0"/>
              <w:autoSpaceDE/>
              <w:autoSpaceDN/>
              <w:bidi w:val="0"/>
              <w:adjustRightInd/>
              <w:snapToGrid/>
              <w:spacing w:after="0" w:line="500" w:lineRule="exact"/>
              <w:jc w:val="center"/>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20个工作日</w:t>
            </w:r>
          </w:p>
        </w:tc>
      </w:tr>
    </w:tbl>
    <w:p w14:paraId="3B5A6618">
      <w:pPr>
        <w:keepNext w:val="0"/>
        <w:keepLines w:val="0"/>
        <w:pageBreakBefore w:val="0"/>
        <w:kinsoku/>
        <w:wordWrap/>
        <w:overflowPunct/>
        <w:topLinePunct w:val="0"/>
        <w:autoSpaceDE/>
        <w:autoSpaceDN/>
        <w:bidi w:val="0"/>
        <w:adjustRightInd/>
        <w:snapToGrid/>
        <w:spacing w:after="0"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说明：评审时限是指协作机构从签订评审委托合同、接收评审资料开始至提交初步评审报告的时间期限，如遇特殊情况，经批准后可适当延长。提交初步评审报告后，经评审中心复核，与建设单位沟通同意后，须3日内提交正式评审报告。</w:t>
      </w:r>
    </w:p>
    <w:p w14:paraId="1A213A86">
      <w:pPr>
        <w:pStyle w:val="12"/>
        <w:keepNext w:val="0"/>
        <w:keepLines w:val="0"/>
        <w:pageBreakBefore w:val="0"/>
        <w:widowControl/>
        <w:kinsoku/>
        <w:wordWrap/>
        <w:overflowPunct/>
        <w:topLinePunct w:val="0"/>
        <w:autoSpaceDE/>
        <w:autoSpaceDN/>
        <w:bidi w:val="0"/>
        <w:adjustRightInd/>
        <w:snapToGrid/>
        <w:spacing w:after="0" w:line="500" w:lineRule="exact"/>
        <w:ind w:firstLine="482"/>
        <w:textAlignment w:val="auto"/>
        <w:rPr>
          <w:rFonts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四、项目评审服务人员要求</w:t>
      </w:r>
    </w:p>
    <w:p w14:paraId="501A5B45">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接受委托的</w:t>
      </w:r>
      <w:r>
        <w:rPr>
          <w:rFonts w:hint="eastAsia" w:ascii="宋体" w:hAnsi="宋体" w:eastAsia="宋体" w:cs="宋体"/>
          <w:bCs/>
          <w:color w:val="auto"/>
          <w:sz w:val="24"/>
          <w:szCs w:val="24"/>
          <w:highlight w:val="none"/>
          <w:lang w:val="en-US" w:eastAsia="zh-CN"/>
        </w:rPr>
        <w:t>中标人</w:t>
      </w:r>
      <w:r>
        <w:rPr>
          <w:rFonts w:hint="eastAsia" w:ascii="宋体" w:hAnsi="宋体" w:eastAsia="宋体" w:cs="宋体"/>
          <w:bCs/>
          <w:color w:val="auto"/>
          <w:sz w:val="24"/>
          <w:szCs w:val="24"/>
          <w:highlight w:val="none"/>
        </w:rPr>
        <w:t>应根据根据评审工作需要组建评审组，评审组应由</w:t>
      </w:r>
      <w:r>
        <w:rPr>
          <w:rFonts w:hint="eastAsia" w:ascii="宋体" w:hAnsi="宋体" w:eastAsia="宋体" w:cs="宋体"/>
          <w:bCs/>
          <w:color w:val="auto"/>
          <w:sz w:val="24"/>
          <w:szCs w:val="24"/>
          <w:highlight w:val="none"/>
          <w:lang w:val="en-US" w:eastAsia="zh-CN"/>
        </w:rPr>
        <w:t>中标人</w:t>
      </w:r>
      <w:r>
        <w:rPr>
          <w:rFonts w:hint="eastAsia" w:ascii="宋体" w:hAnsi="宋体" w:eastAsia="宋体" w:cs="宋体"/>
          <w:bCs/>
          <w:color w:val="auto"/>
          <w:sz w:val="24"/>
          <w:szCs w:val="24"/>
          <w:highlight w:val="none"/>
        </w:rPr>
        <w:t>的在职人员组成，不得少于3</w:t>
      </w:r>
      <w:r>
        <w:rPr>
          <w:rFonts w:hint="eastAsia" w:ascii="宋体" w:hAnsi="宋体" w:eastAsia="宋体" w:cs="宋体"/>
          <w:bCs/>
          <w:color w:val="auto"/>
          <w:sz w:val="24"/>
          <w:szCs w:val="24"/>
          <w:highlight w:val="none"/>
          <w:lang w:val="en-US" w:eastAsia="zh-CN"/>
        </w:rPr>
        <w:t>人（其中一级注册造价师应不少于2人）；</w:t>
      </w:r>
      <w:r>
        <w:rPr>
          <w:rFonts w:hint="eastAsia" w:ascii="宋体" w:hAnsi="宋体" w:eastAsia="宋体" w:cs="宋体"/>
          <w:bCs/>
          <w:color w:val="auto"/>
          <w:sz w:val="24"/>
          <w:szCs w:val="24"/>
          <w:highlight w:val="none"/>
        </w:rPr>
        <w:t>人员应具备注册造价工程师执业资格，人员数量与专业结构应当满足评审业务要求</w:t>
      </w:r>
      <w:r>
        <w:rPr>
          <w:rFonts w:hint="eastAsia" w:ascii="宋体" w:hAnsi="宋体" w:eastAsia="宋体" w:cs="宋体"/>
          <w:bCs/>
          <w:color w:val="auto"/>
          <w:sz w:val="24"/>
          <w:szCs w:val="24"/>
          <w:highlight w:val="none"/>
          <w:lang w:eastAsia="zh-CN"/>
        </w:rPr>
        <w:t>；</w:t>
      </w:r>
      <w:r>
        <w:rPr>
          <w:rFonts w:hint="eastAsia" w:ascii="宋体" w:hAnsi="宋体" w:eastAsia="宋体" w:cs="宋体"/>
          <w:bCs/>
          <w:color w:val="auto"/>
          <w:sz w:val="24"/>
          <w:szCs w:val="24"/>
          <w:highlight w:val="none"/>
        </w:rPr>
        <w:t>严格执行“三级复核制”</w:t>
      </w:r>
      <w:r>
        <w:rPr>
          <w:rFonts w:hint="eastAsia" w:ascii="宋体" w:hAnsi="宋体" w:eastAsia="宋体" w:cs="宋体"/>
          <w:bCs/>
          <w:color w:val="auto"/>
          <w:sz w:val="24"/>
          <w:szCs w:val="24"/>
          <w:highlight w:val="none"/>
          <w:lang w:eastAsia="zh-CN"/>
        </w:rPr>
        <w:t>。</w:t>
      </w:r>
    </w:p>
    <w:p w14:paraId="1D1CEFCB">
      <w:pPr>
        <w:keepNext w:val="0"/>
        <w:keepLines w:val="0"/>
        <w:pageBreakBefore w:val="0"/>
        <w:kinsoku/>
        <w:wordWrap/>
        <w:overflowPunct/>
        <w:topLinePunct w:val="0"/>
        <w:autoSpaceDE/>
        <w:autoSpaceDN/>
        <w:bidi w:val="0"/>
        <w:adjustRightInd/>
        <w:snapToGrid/>
        <w:spacing w:after="0" w:line="500" w:lineRule="exact"/>
        <w:ind w:firstLine="482" w:firstLineChars="200"/>
        <w:rPr>
          <w:rFonts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五、项目评审服务标准</w:t>
      </w:r>
    </w:p>
    <w:p w14:paraId="1A6989FB">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在咨询服务工作中应当依据国家、行业或中国建设工程造价管理协会的有关标准、规范（包括但不限于下列标准、规范）。</w:t>
      </w:r>
    </w:p>
    <w:p w14:paraId="11AB24D1">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（1）《工程造价咨询企业管理办法》；</w:t>
      </w:r>
    </w:p>
    <w:p w14:paraId="6A30D6EE">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（2）《注册造价工程师管理办法》；</w:t>
      </w:r>
    </w:p>
    <w:p w14:paraId="0D8119A3">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（3）《建设工程造价咨询规范》（GB/T 51095-2015）；</w:t>
      </w:r>
    </w:p>
    <w:p w14:paraId="77BDAE1D">
      <w:pPr>
        <w:keepNext w:val="0"/>
        <w:keepLines w:val="0"/>
        <w:pageBreakBefore w:val="0"/>
        <w:widowControl/>
        <w:kinsoku/>
        <w:wordWrap/>
        <w:overflowPunct/>
        <w:topLinePunct w:val="0"/>
        <w:autoSpaceDE/>
        <w:autoSpaceDN/>
        <w:bidi w:val="0"/>
        <w:spacing w:after="0" w:line="500" w:lineRule="exact"/>
        <w:ind w:firstLine="480" w:firstLineChars="200"/>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kern w:val="2"/>
          <w:sz w:val="24"/>
          <w:szCs w:val="24"/>
          <w:highlight w:val="none"/>
        </w:rPr>
        <w:t>建设工程造价咨询质量控制规范</w:t>
      </w:r>
      <w:r>
        <w:rPr>
          <w:rFonts w:hint="eastAsia" w:ascii="宋体" w:hAnsi="宋体" w:eastAsia="宋体" w:cs="宋体"/>
          <w:color w:val="auto"/>
          <w:sz w:val="24"/>
          <w:szCs w:val="24"/>
          <w:highlight w:val="none"/>
        </w:rPr>
        <w:t>》DB42/T 823—2021 ；</w:t>
      </w:r>
    </w:p>
    <w:p w14:paraId="1388B9CB">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（5）</w:t>
      </w:r>
      <w:r>
        <w:rPr>
          <w:rFonts w:hint="eastAsia" w:ascii="宋体" w:hAnsi="宋体" w:eastAsia="宋体" w:cs="宋体"/>
          <w:color w:val="auto"/>
          <w:sz w:val="24"/>
          <w:szCs w:val="24"/>
          <w:highlight w:val="none"/>
        </w:rPr>
        <w:t>《建设工程工程量清单计价规范》（GB50500-2013）、《房屋建筑与装饰工程工程量计算规范》（GB50854-2013）、《市政工程工程量计算规范》（GB50857-2013）；</w:t>
      </w:r>
    </w:p>
    <w:p w14:paraId="69E54389">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（6）</w:t>
      </w:r>
      <w:r>
        <w:rPr>
          <w:rFonts w:hint="eastAsia" w:ascii="宋体" w:hAnsi="宋体" w:eastAsia="宋体" w:cs="宋体"/>
          <w:color w:val="auto"/>
          <w:sz w:val="24"/>
          <w:szCs w:val="24"/>
          <w:highlight w:val="none"/>
        </w:rPr>
        <w:t>《湖北省建设工程造价管理办法》（湖北省政府令第311号）；</w:t>
      </w:r>
    </w:p>
    <w:p w14:paraId="2DB05648">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（7）</w:t>
      </w:r>
      <w:r>
        <w:rPr>
          <w:rFonts w:hint="eastAsia" w:ascii="宋体" w:hAnsi="宋体" w:eastAsia="宋体" w:cs="宋体"/>
          <w:color w:val="auto"/>
          <w:sz w:val="24"/>
          <w:szCs w:val="24"/>
          <w:highlight w:val="none"/>
        </w:rPr>
        <w:t>《建设工程计价设备材料划分标准》GB/T 50531；</w:t>
      </w:r>
    </w:p>
    <w:p w14:paraId="4EE83726">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（8）</w:t>
      </w:r>
      <w:r>
        <w:rPr>
          <w:rFonts w:hint="eastAsia" w:ascii="宋体" w:hAnsi="宋体" w:eastAsia="宋体" w:cs="宋体"/>
          <w:color w:val="auto"/>
          <w:sz w:val="24"/>
          <w:szCs w:val="24"/>
          <w:highlight w:val="none"/>
        </w:rPr>
        <w:t>《建设工程造价咨询成果文件质量标准》CECA/GC7；</w:t>
      </w:r>
    </w:p>
    <w:p w14:paraId="05F4513F">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（9）</w:t>
      </w:r>
      <w:r>
        <w:rPr>
          <w:rFonts w:hint="eastAsia" w:ascii="宋体" w:hAnsi="宋体" w:eastAsia="宋体" w:cs="宋体"/>
          <w:color w:val="auto"/>
          <w:sz w:val="24"/>
          <w:szCs w:val="24"/>
          <w:highlight w:val="none"/>
        </w:rPr>
        <w:t>《建设项目工程结算编审规程》CECA/GC3－2010；</w:t>
      </w:r>
    </w:p>
    <w:p w14:paraId="1A8C559D">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lang w:val="zh-CN"/>
        </w:rPr>
        <w:t>湖北省黄梅县政府投资评审协作机构委托管理办法</w:t>
      </w:r>
      <w:r>
        <w:rPr>
          <w:rFonts w:hint="eastAsia" w:ascii="宋体" w:hAnsi="宋体" w:eastAsia="宋体" w:cs="宋体"/>
          <w:color w:val="auto"/>
          <w:sz w:val="24"/>
          <w:szCs w:val="24"/>
          <w:highlight w:val="none"/>
        </w:rPr>
        <w:t>》；</w:t>
      </w:r>
    </w:p>
    <w:p w14:paraId="08C91B58">
      <w:pPr>
        <w:pStyle w:val="12"/>
        <w:keepNext w:val="0"/>
        <w:keepLines w:val="0"/>
        <w:pageBreakBefore w:val="0"/>
        <w:widowControl/>
        <w:kinsoku/>
        <w:wordWrap/>
        <w:overflowPunct/>
        <w:topLinePunct w:val="0"/>
        <w:autoSpaceDE/>
        <w:autoSpaceDN/>
        <w:bidi w:val="0"/>
        <w:adjustRightInd/>
        <w:snapToGrid/>
        <w:spacing w:after="0" w:line="500" w:lineRule="exact"/>
        <w:textAlignment w:val="auto"/>
        <w:rPr>
          <w:rFonts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）国家、行业或中国建设工程造价管理协会其</w:t>
      </w:r>
      <w:r>
        <w:rPr>
          <w:rFonts w:hint="eastAsia" w:ascii="宋体" w:hAnsi="宋体" w:eastAsia="宋体" w:cs="宋体"/>
          <w:bCs/>
          <w:color w:val="auto"/>
          <w:sz w:val="24"/>
          <w:szCs w:val="24"/>
          <w:highlight w:val="none"/>
        </w:rPr>
        <w:t>他有关标准、规范等。</w:t>
      </w:r>
    </w:p>
    <w:p w14:paraId="282EB6F7">
      <w:pPr>
        <w:keepNext w:val="0"/>
        <w:keepLines w:val="0"/>
        <w:pageBreakBefore w:val="0"/>
        <w:kinsoku/>
        <w:wordWrap/>
        <w:overflowPunct/>
        <w:topLinePunct w:val="0"/>
        <w:autoSpaceDE/>
        <w:autoSpaceDN/>
        <w:bidi w:val="0"/>
        <w:adjustRightInd/>
        <w:snapToGrid/>
        <w:spacing w:after="0" w:line="500" w:lineRule="exact"/>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六、项目评审费标准</w:t>
      </w:r>
    </w:p>
    <w:p w14:paraId="6473839E">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highlight w:val="none"/>
        </w:rPr>
      </w:pPr>
      <w:r>
        <w:rPr>
          <w:rFonts w:hint="eastAsia" w:ascii="宋体" w:hAnsi="宋体" w:eastAsia="宋体" w:cs="宋体"/>
          <w:bCs/>
          <w:color w:val="auto"/>
          <w:sz w:val="24"/>
          <w:highlight w:val="none"/>
        </w:rPr>
        <w:t>①、送审额在1000（含）万以下的项目评审费</w:t>
      </w:r>
    </w:p>
    <w:p w14:paraId="7279225F">
      <w:pPr>
        <w:keepNext w:val="0"/>
        <w:keepLines w:val="0"/>
        <w:pageBreakBefore w:val="0"/>
        <w:kinsoku/>
        <w:wordWrap/>
        <w:overflowPunct/>
        <w:topLinePunct w:val="0"/>
        <w:autoSpaceDE/>
        <w:autoSpaceDN/>
        <w:bidi w:val="0"/>
        <w:adjustRightInd/>
        <w:snapToGrid/>
        <w:spacing w:after="0" w:line="500" w:lineRule="exact"/>
        <w:ind w:firstLine="482" w:firstLineChars="200"/>
        <w:rPr>
          <w:rFonts w:ascii="宋体" w:hAnsi="宋体" w:eastAsia="宋体" w:cs="宋体"/>
          <w:b/>
          <w:color w:val="auto"/>
          <w:sz w:val="24"/>
          <w:highlight w:val="none"/>
        </w:rPr>
      </w:pPr>
      <w:r>
        <w:rPr>
          <w:rFonts w:hint="eastAsia" w:ascii="宋体" w:hAnsi="宋体" w:eastAsia="宋体" w:cs="宋体"/>
          <w:b/>
          <w:color w:val="auto"/>
          <w:sz w:val="24"/>
          <w:highlight w:val="none"/>
        </w:rPr>
        <w:t>评审费=0.8（优惠率）×评审额×基本付费率×付费比例×审减额系数×考核系数；</w:t>
      </w:r>
    </w:p>
    <w:p w14:paraId="3BBF07E5">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highlight w:val="none"/>
        </w:rPr>
      </w:pPr>
      <w:r>
        <w:rPr>
          <w:rFonts w:hint="eastAsia" w:ascii="宋体" w:hAnsi="宋体" w:eastAsia="宋体" w:cs="宋体"/>
          <w:bCs/>
          <w:color w:val="auto"/>
          <w:sz w:val="24"/>
          <w:highlight w:val="none"/>
        </w:rPr>
        <w:t>②、送审额在1000万以上的项目评审费</w:t>
      </w:r>
    </w:p>
    <w:p w14:paraId="7336CB19">
      <w:pPr>
        <w:keepNext w:val="0"/>
        <w:keepLines w:val="0"/>
        <w:pageBreakBefore w:val="0"/>
        <w:kinsoku/>
        <w:wordWrap/>
        <w:overflowPunct/>
        <w:topLinePunct w:val="0"/>
        <w:autoSpaceDE/>
        <w:autoSpaceDN/>
        <w:bidi w:val="0"/>
        <w:adjustRightInd/>
        <w:snapToGrid/>
        <w:spacing w:after="0" w:line="500" w:lineRule="exact"/>
        <w:ind w:firstLine="482" w:firstLineChars="200"/>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评审费</w:t>
      </w:r>
      <w:r>
        <w:rPr>
          <w:rFonts w:hint="eastAsia" w:ascii="宋体" w:hAnsi="宋体" w:eastAsia="宋体" w:cs="宋体"/>
          <w:b/>
          <w:bCs w:val="0"/>
          <w:color w:val="auto"/>
          <w:sz w:val="24"/>
          <w:szCs w:val="24"/>
          <w:highlight w:val="none"/>
          <w:lang w:val="en-US" w:eastAsia="zh-CN"/>
        </w:rPr>
        <w:t>=</w:t>
      </w:r>
      <w:r>
        <w:rPr>
          <w:rFonts w:hint="eastAsia" w:ascii="宋体" w:hAnsi="宋体" w:eastAsia="宋体" w:cs="宋体"/>
          <w:b/>
          <w:bCs w:val="0"/>
          <w:sz w:val="24"/>
          <w:szCs w:val="24"/>
          <w:lang w:val="en-US" w:eastAsia="zh-CN"/>
        </w:rPr>
        <w:t>二次竞价项目的中标价</w:t>
      </w:r>
      <w:r>
        <w:rPr>
          <w:rFonts w:hint="eastAsia" w:ascii="宋体" w:hAnsi="宋体" w:eastAsia="宋体" w:cs="宋体"/>
          <w:b/>
          <w:color w:val="auto"/>
          <w:sz w:val="24"/>
          <w:highlight w:val="none"/>
        </w:rPr>
        <w:t>×考核系数</w:t>
      </w:r>
      <w:r>
        <w:rPr>
          <w:rFonts w:hint="eastAsia" w:ascii="宋体" w:hAnsi="宋体" w:eastAsia="宋体" w:cs="宋体"/>
          <w:b/>
          <w:bCs w:val="0"/>
          <w:color w:val="auto"/>
          <w:sz w:val="24"/>
          <w:szCs w:val="24"/>
          <w:highlight w:val="none"/>
        </w:rPr>
        <w:t>；</w:t>
      </w:r>
    </w:p>
    <w:p w14:paraId="723C6352">
      <w:pPr>
        <w:keepNext w:val="0"/>
        <w:keepLines w:val="0"/>
        <w:pageBreakBefore w:val="0"/>
        <w:kinsoku/>
        <w:wordWrap/>
        <w:overflowPunct/>
        <w:topLinePunct w:val="0"/>
        <w:autoSpaceDE/>
        <w:autoSpaceDN/>
        <w:bidi w:val="0"/>
        <w:adjustRightInd/>
        <w:snapToGrid/>
        <w:spacing w:after="0" w:line="5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000000" w:themeColor="text1"/>
          <w:sz w:val="24"/>
          <w:highlight w:val="none"/>
          <w14:textFill>
            <w14:solidFill>
              <w14:schemeClr w14:val="tx1"/>
            </w14:solidFill>
          </w14:textFill>
        </w:rPr>
        <w:t>最高限价</w:t>
      </w:r>
      <w:r>
        <w:rPr>
          <w:rFonts w:hint="eastAsia" w:ascii="宋体" w:hAnsi="宋体" w:eastAsia="宋体" w:cs="宋体"/>
          <w:b/>
          <w:color w:val="000000" w:themeColor="text1"/>
          <w:sz w:val="24"/>
          <w:highlight w:val="none"/>
          <w:lang w:val="en-US" w:eastAsia="zh-CN"/>
          <w14:textFill>
            <w14:solidFill>
              <w14:schemeClr w14:val="tx1"/>
            </w14:solidFill>
          </w14:textFill>
        </w:rPr>
        <w:t>=</w:t>
      </w:r>
      <w:r>
        <w:rPr>
          <w:rFonts w:hint="eastAsia" w:ascii="宋体" w:hAnsi="宋体" w:eastAsia="宋体" w:cs="宋体"/>
          <w:b/>
          <w:color w:val="000000" w:themeColor="text1"/>
          <w:sz w:val="24"/>
          <w:highlight w:val="none"/>
          <w14:textFill>
            <w14:solidFill>
              <w14:schemeClr w14:val="tx1"/>
            </w14:solidFill>
          </w14:textFill>
        </w:rPr>
        <w:t>评审额×基本付费率×付费比例</w:t>
      </w:r>
    </w:p>
    <w:p w14:paraId="0BB5AE32">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基本付费率是根据评审项目财政性投资规模的不同分档设定的付费比例。具体为：</w:t>
      </w:r>
    </w:p>
    <w:p w14:paraId="06466937">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（一）评审额在1000万元（含）以下，基本付费率为3‰；</w:t>
      </w:r>
    </w:p>
    <w:p w14:paraId="33964B1D">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（二）评审额在1000万元至3000万元（含），基本付费率为</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Cs/>
          <w:color w:val="000000" w:themeColor="text1"/>
          <w:sz w:val="24"/>
          <w:szCs w:val="24"/>
          <w:highlight w:val="none"/>
          <w14:textFill>
            <w14:solidFill>
              <w14:schemeClr w14:val="tx1"/>
            </w14:solidFill>
          </w14:textFill>
        </w:rPr>
        <w:t>‰；</w:t>
      </w:r>
    </w:p>
    <w:p w14:paraId="59AA48EC">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（三）评审额在3000万元至5000万元（含），基本付费率为</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1.5</w:t>
      </w:r>
      <w:r>
        <w:rPr>
          <w:rFonts w:hint="eastAsia" w:ascii="宋体" w:hAnsi="宋体" w:eastAsia="宋体" w:cs="宋体"/>
          <w:bCs/>
          <w:color w:val="000000" w:themeColor="text1"/>
          <w:sz w:val="24"/>
          <w:szCs w:val="24"/>
          <w:highlight w:val="none"/>
          <w14:textFill>
            <w14:solidFill>
              <w14:schemeClr w14:val="tx1"/>
            </w14:solidFill>
          </w14:textFill>
        </w:rPr>
        <w:t>‰；</w:t>
      </w:r>
    </w:p>
    <w:p w14:paraId="1A92CA14">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（四）评审额在5000万元至1亿元（含），基本付费率为1‰；</w:t>
      </w:r>
    </w:p>
    <w:p w14:paraId="24B95F01">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（五）评审额在1亿元至5亿元（含），基本付费率为</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0.6</w:t>
      </w:r>
      <w:r>
        <w:rPr>
          <w:rFonts w:hint="eastAsia" w:ascii="宋体" w:hAnsi="宋体" w:eastAsia="宋体" w:cs="宋体"/>
          <w:bCs/>
          <w:color w:val="000000" w:themeColor="text1"/>
          <w:sz w:val="24"/>
          <w:szCs w:val="24"/>
          <w:highlight w:val="none"/>
          <w14:textFill>
            <w14:solidFill>
              <w14:schemeClr w14:val="tx1"/>
            </w14:solidFill>
          </w14:textFill>
        </w:rPr>
        <w:t>‰；</w:t>
      </w:r>
    </w:p>
    <w:p w14:paraId="3E11CA70">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（六）评审额在5亿元以上部分，基本付费率为0.</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4"/>
          <w:highlight w:val="none"/>
          <w14:textFill>
            <w14:solidFill>
              <w14:schemeClr w14:val="tx1"/>
            </w14:solidFill>
          </w14:textFill>
        </w:rPr>
        <w:t>‰。</w:t>
      </w:r>
    </w:p>
    <w:p w14:paraId="4A4D50AF">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计算公式为：基本额= ∑评审额（分段金额）×基本付费率（基本付费额按照差额定率累计法核定）</w:t>
      </w:r>
    </w:p>
    <w:p w14:paraId="6359D4AE">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类型系数按建设项目预算、建设项目决算评审等两种不同评审类型分别确定：</w:t>
      </w:r>
    </w:p>
    <w:p w14:paraId="7649F228">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建设项目预算的付费比例为30%；</w:t>
      </w:r>
    </w:p>
    <w:p w14:paraId="46C8CEAB">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建设项目决算的付费比例为60%。</w:t>
      </w:r>
    </w:p>
    <w:p w14:paraId="33F5AB53">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计算公式为：基本付费额= 基本额×类型系数</w:t>
      </w:r>
    </w:p>
    <w:p w14:paraId="019138B9">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审减额付费按如下标准计算：</w:t>
      </w:r>
    </w:p>
    <w:p w14:paraId="7160F727">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建设项目预算评审</w:t>
      </w:r>
    </w:p>
    <w:p w14:paraId="78828916">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（一）审减率达到3%（含）以内的，审减额付费按基本付费额*70%；</w:t>
      </w:r>
    </w:p>
    <w:p w14:paraId="6ABCBA40">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（二）审减率达到3%及5%（含）的，审减额付费按基本付费额*80%；</w:t>
      </w:r>
    </w:p>
    <w:p w14:paraId="45A1587B">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（三）审减率达到5%至10%（含）的，审减额付费按基本付费额*90%；</w:t>
      </w:r>
    </w:p>
    <w:p w14:paraId="5CABE539">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（四）审减率达到10%至15%（含）的，审减额付费按基本付费额*100%；</w:t>
      </w:r>
    </w:p>
    <w:p w14:paraId="04CCCF6B">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（五）审减率达到15%以上的，审减额付费按基本付费额*110%。</w:t>
      </w:r>
    </w:p>
    <w:p w14:paraId="3D49C13C">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建设项目决算评审：</w:t>
      </w:r>
    </w:p>
    <w:p w14:paraId="7F07D6D2">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（一）审减率达到3%（含）以内的，审减额付费按基本付费额*80%；</w:t>
      </w:r>
    </w:p>
    <w:p w14:paraId="5BE6C20A">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（二）审减率达到3%至5%（含）的，审减额付费按基本付费额*90%；</w:t>
      </w:r>
    </w:p>
    <w:p w14:paraId="709647D9">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（三）审减率达到5%至8%（含）的，审减额付费按基本付费额*100%；</w:t>
      </w:r>
    </w:p>
    <w:p w14:paraId="3F1CD5D0">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（四）审减率达到8%以上的，审减额付费按基本付费额*110%。</w:t>
      </w:r>
    </w:p>
    <w:p w14:paraId="188C2FF7">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考核系数按照以下情况确定：</w:t>
      </w:r>
    </w:p>
    <w:p w14:paraId="4331845F">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（一）考核得分率在优秀的，系数为1.1；</w:t>
      </w:r>
    </w:p>
    <w:p w14:paraId="6CF450F2">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（二）考核得分率在合格的，系数为1.0；</w:t>
      </w:r>
    </w:p>
    <w:p w14:paraId="23C138E9">
      <w:pPr>
        <w:keepNext w:val="0"/>
        <w:keepLines w:val="0"/>
        <w:pageBreakBefore w:val="0"/>
        <w:kinsoku/>
        <w:wordWrap/>
        <w:overflowPunct/>
        <w:topLinePunct w:val="0"/>
        <w:autoSpaceDE/>
        <w:autoSpaceDN/>
        <w:bidi w:val="0"/>
        <w:adjustRightInd/>
        <w:snapToGrid/>
        <w:spacing w:after="0" w:line="500" w:lineRule="exact"/>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（三）考核得分率在不合格的不予付费。</w:t>
      </w:r>
    </w:p>
    <w:p w14:paraId="74EEB14E">
      <w:pPr>
        <w:keepNext w:val="0"/>
        <w:keepLines w:val="0"/>
        <w:pageBreakBefore w:val="0"/>
        <w:kinsoku/>
        <w:wordWrap/>
        <w:overflowPunct/>
        <w:topLinePunct w:val="0"/>
        <w:autoSpaceDE/>
        <w:autoSpaceDN/>
        <w:bidi w:val="0"/>
        <w:adjustRightInd/>
        <w:snapToGrid/>
        <w:spacing w:after="0" w:line="500" w:lineRule="exact"/>
        <w:ind w:firstLine="480" w:firstLineChars="200"/>
        <w:rPr>
          <w:rFonts w:hint="eastAsia" w:ascii="宋体" w:hAnsi="宋体" w:eastAsia="宋体" w:cs="宋体"/>
          <w:b/>
          <w:color w:val="auto"/>
          <w:sz w:val="24"/>
          <w:highlight w:val="yellow"/>
          <w:lang w:val="en-US" w:eastAsia="zh-CN"/>
        </w:rPr>
      </w:pPr>
      <w:r>
        <w:rPr>
          <w:rFonts w:hint="eastAsia" w:ascii="宋体" w:hAnsi="宋体" w:eastAsia="宋体" w:cs="宋体"/>
          <w:bCs/>
          <w:color w:val="auto"/>
          <w:sz w:val="24"/>
          <w:szCs w:val="24"/>
          <w:highlight w:val="none"/>
        </w:rPr>
        <w:t>建设项目预算单项委托评审付费额最低为0.2万元；建设项目决算单项委托评审付费额最低为0.5万元；建设项目预（决）算单项委托评审付费额最高为10万元。</w:t>
      </w:r>
      <w:r>
        <w:rPr>
          <w:rFonts w:hint="eastAsia" w:ascii="宋体" w:hAnsi="宋体" w:eastAsia="宋体" w:cs="宋体"/>
          <w:color w:val="auto"/>
          <w:sz w:val="24"/>
          <w:szCs w:val="24"/>
          <w:highlight w:val="none"/>
        </w:rPr>
        <w:t>  </w:t>
      </w:r>
    </w:p>
    <w:p w14:paraId="2F9708FF">
      <w:pPr>
        <w:keepNext w:val="0"/>
        <w:keepLines w:val="0"/>
        <w:pageBreakBefore w:val="0"/>
        <w:kinsoku/>
        <w:wordWrap/>
        <w:overflowPunct/>
        <w:topLinePunct w:val="0"/>
        <w:autoSpaceDE/>
        <w:autoSpaceDN/>
        <w:bidi w:val="0"/>
        <w:adjustRightInd/>
        <w:snapToGrid/>
        <w:spacing w:after="0" w:line="500" w:lineRule="exact"/>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lang w:val="en-US" w:eastAsia="zh-CN"/>
        </w:rPr>
        <w:t>七、</w:t>
      </w:r>
      <w:r>
        <w:rPr>
          <w:rFonts w:hint="eastAsia" w:ascii="宋体" w:hAnsi="宋体" w:eastAsia="宋体" w:cs="宋体"/>
          <w:b/>
          <w:color w:val="auto"/>
          <w:sz w:val="24"/>
          <w:highlight w:val="none"/>
        </w:rPr>
        <w:t>委托方式</w:t>
      </w:r>
    </w:p>
    <w:p w14:paraId="1A005C52">
      <w:pPr>
        <w:keepNext w:val="0"/>
        <w:keepLines w:val="0"/>
        <w:pageBreakBefore w:val="0"/>
        <w:widowControl/>
        <w:numPr>
          <w:ilvl w:val="0"/>
          <w:numId w:val="0"/>
        </w:numPr>
        <w:tabs>
          <w:tab w:val="left" w:pos="709"/>
          <w:tab w:val="left" w:pos="851"/>
        </w:tabs>
        <w:kinsoku/>
        <w:wordWrap/>
        <w:overflowPunct/>
        <w:topLinePunct w:val="0"/>
        <w:autoSpaceDE/>
        <w:autoSpaceDN/>
        <w:bidi w:val="0"/>
        <w:adjustRightInd w:val="0"/>
        <w:snapToGrid w:val="0"/>
        <w:spacing w:after="0" w:line="500" w:lineRule="exact"/>
        <w:ind w:firstLine="482" w:firstLineChars="200"/>
        <w:textAlignment w:val="baseline"/>
        <w:rPr>
          <w:rFonts w:hint="eastAsia" w:hAnsi="宋体" w:cs="宋体"/>
          <w:b/>
          <w:color w:val="auto"/>
          <w:sz w:val="24"/>
          <w:szCs w:val="24"/>
          <w:highlight w:val="none"/>
        </w:rPr>
      </w:pPr>
      <w:r>
        <w:rPr>
          <w:rFonts w:hint="eastAsia" w:ascii="宋体" w:hAnsi="宋体" w:eastAsia="宋体" w:cs="宋体"/>
          <w:b/>
          <w:color w:val="auto"/>
          <w:sz w:val="24"/>
          <w:szCs w:val="24"/>
          <w:highlight w:val="none"/>
        </w:rPr>
        <w:t>确定第二阶段成交供应商的方式</w:t>
      </w:r>
    </w:p>
    <w:p w14:paraId="4DC73A45">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sz w:val="24"/>
          <w:szCs w:val="24"/>
          <w:highlight w:val="none"/>
          <w:lang w:val="en-US" w:eastAsia="zh-CN"/>
        </w:rPr>
        <w:t>为落实中小微企业扶持政策，单次项目送审额在1000万元（不含）以下的项目，确定第二阶段成交供应商的方式为</w:t>
      </w:r>
      <w:r>
        <w:rPr>
          <w:rFonts w:hint="eastAsia" w:ascii="宋体" w:hAnsi="宋体" w:eastAsia="宋体" w:cs="宋体"/>
          <w:color w:val="000000" w:themeColor="text1"/>
          <w:sz w:val="24"/>
          <w:szCs w:val="24"/>
          <w:highlight w:val="none"/>
          <w:lang w:val="en-US" w:eastAsia="zh-CN"/>
          <w14:textFill>
            <w14:solidFill>
              <w14:schemeClr w14:val="tx1"/>
            </w14:solidFill>
          </w14:textFill>
        </w:rPr>
        <w:t>“直接选定”。成交供应商直接按照本文件第三章采购需求第六条“项目评审费标准”所属标准承接项目。</w:t>
      </w:r>
    </w:p>
    <w:p w14:paraId="02C4D1B1">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单次项目送审额在1000万元（含）以上的项目，确定第二阶段成交供应商的方式为二次竞价，根据入围供应商的数量，按入围得分由高到低顺序排序分成若干组，</w:t>
      </w:r>
      <w:r>
        <w:rPr>
          <w:rFonts w:hint="eastAsia" w:ascii="宋体" w:hAnsi="宋体" w:eastAsia="宋体" w:cs="宋体"/>
          <w:color w:val="000000" w:themeColor="text1"/>
          <w:sz w:val="24"/>
          <w:szCs w:val="24"/>
          <w:highlight w:val="none"/>
          <w:lang w:val="en-US" w:eastAsia="zh-CN"/>
          <w14:textFill>
            <w14:solidFill>
              <w14:schemeClr w14:val="tx1"/>
            </w14:solidFill>
          </w14:textFill>
        </w:rPr>
        <w:t>每组5家供应商。</w:t>
      </w:r>
      <w:r>
        <w:rPr>
          <w:rFonts w:hint="eastAsia" w:ascii="宋体" w:hAnsi="宋体" w:eastAsia="宋体" w:cs="宋体"/>
          <w:sz w:val="24"/>
          <w:szCs w:val="24"/>
          <w:highlight w:val="none"/>
          <w:lang w:val="en-US" w:eastAsia="zh-CN"/>
        </w:rPr>
        <w:t>每个单项项目由一组供应商参与竞价，下一个项目由第二组轮候，依次类推。参与报价的供应商直接按照本文件第三章采购需求第六条“项目评审费标准”所属标准进行报价竞价。</w:t>
      </w:r>
    </w:p>
    <w:p w14:paraId="78EB10A9">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单次项目送审额在10000万元（含）以上的项目，确定第二阶段成交供应商的方式为所有供应商参与竞价。参与报价的供应商直接按照本文件第三章采购需求第六条“项目评审费标准”所属标准进行报价竞价。</w:t>
      </w:r>
    </w:p>
    <w:p w14:paraId="72BA326E">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上述竞价，最低报价不是成交的唯一条件。对于需要二次竞价的项目，征集人会启动异常低价审查程序。供应商报价一旦被认定为异常低价，需要其对报价作出解释，提供项目具体成本测算等与报价合理性相关的书面说明及必要的证明材料，若供应商‌拒绝说明、无法提供材料，或提供的材料不能证明其报价合理性‌，征集人将对其报价作无效报价处理。</w:t>
      </w:r>
    </w:p>
    <w:p w14:paraId="5BC9D0A5">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《异常低价审查程序》</w:t>
      </w:r>
    </w:p>
    <w:p w14:paraId="46A5F162">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异常低价审查程序按照财库〔2026〕2号《关于推动解决政府采购异常低价问题的通知》的相关规定执行：</w:t>
      </w:r>
    </w:p>
    <w:p w14:paraId="309C1EEE">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（1）投标报价低于所有（参与报价供应商）投标报价平均值</w:t>
      </w:r>
      <w:r>
        <w:rPr>
          <w:rFonts w:hint="eastAsia" w:ascii="宋体" w:hAnsi="宋体" w:eastAsia="宋体" w:cs="宋体"/>
          <w:sz w:val="24"/>
          <w:szCs w:val="24"/>
          <w:highlight w:val="none"/>
          <w:u w:val="single"/>
          <w:lang w:val="en-US" w:eastAsia="zh-CN"/>
        </w:rPr>
        <w:t>50</w:t>
      </w:r>
      <w:r>
        <w:rPr>
          <w:rFonts w:hint="eastAsia" w:ascii="宋体" w:hAnsi="宋体" w:eastAsia="宋体" w:cs="宋体"/>
          <w:sz w:val="24"/>
          <w:szCs w:val="24"/>
          <w:highlight w:val="none"/>
          <w:lang w:val="en-US" w:eastAsia="zh-CN"/>
        </w:rPr>
        <w:t>%的；</w:t>
      </w:r>
    </w:p>
    <w:p w14:paraId="6434B6ED">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（2）投标报价低于（参与报价供应商）次低报价供应商投标报价</w:t>
      </w:r>
      <w:r>
        <w:rPr>
          <w:rFonts w:hint="eastAsia" w:ascii="宋体" w:hAnsi="宋体" w:eastAsia="宋体" w:cs="宋体"/>
          <w:sz w:val="24"/>
          <w:szCs w:val="24"/>
          <w:highlight w:val="none"/>
          <w:u w:val="single"/>
          <w:lang w:val="en-US" w:eastAsia="zh-CN"/>
        </w:rPr>
        <w:t>50</w:t>
      </w:r>
      <w:r>
        <w:rPr>
          <w:rFonts w:hint="eastAsia" w:ascii="宋体" w:hAnsi="宋体" w:eastAsia="宋体" w:cs="宋体"/>
          <w:sz w:val="24"/>
          <w:szCs w:val="24"/>
          <w:highlight w:val="none"/>
          <w:lang w:val="en-US" w:eastAsia="zh-CN"/>
        </w:rPr>
        <w:t>%的；</w:t>
      </w:r>
    </w:p>
    <w:p w14:paraId="74E309A1">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（3）投标报价低于采购项目最高限价</w:t>
      </w:r>
      <w:r>
        <w:rPr>
          <w:rFonts w:hint="eastAsia" w:ascii="宋体" w:hAnsi="宋体" w:eastAsia="宋体" w:cs="宋体"/>
          <w:sz w:val="24"/>
          <w:szCs w:val="24"/>
          <w:highlight w:val="none"/>
          <w:u w:val="single"/>
          <w:lang w:val="en-US" w:eastAsia="zh-CN"/>
        </w:rPr>
        <w:t>45</w:t>
      </w:r>
      <w:r>
        <w:rPr>
          <w:rFonts w:hint="eastAsia" w:ascii="宋体" w:hAnsi="宋体" w:eastAsia="宋体" w:cs="宋体"/>
          <w:sz w:val="24"/>
          <w:szCs w:val="24"/>
          <w:highlight w:val="none"/>
          <w:lang w:val="en-US" w:eastAsia="zh-CN"/>
        </w:rPr>
        <w:t>%的。</w:t>
      </w:r>
    </w:p>
    <w:p w14:paraId="1AB4286A">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（4)评审委员会基于专业判断，认为投标人报价过低，有可能影响产品质量或者不能诚信履约的其他情形。相关法律法规对投标人报价有规定的，从其规定。</w:t>
      </w:r>
    </w:p>
    <w:p w14:paraId="2FE559A3">
      <w:pPr>
        <w:keepNext w:val="0"/>
        <w:keepLines/>
        <w:pageBreakBefore w:val="0"/>
        <w:widowControl w:val="0"/>
        <w:kinsoku/>
        <w:wordWrap/>
        <w:overflowPunct/>
        <w:topLinePunct w:val="0"/>
        <w:autoSpaceDE/>
        <w:autoSpaceDN/>
        <w:bidi w:val="0"/>
        <w:adjustRightInd w:val="0"/>
        <w:snapToGrid w:val="0"/>
        <w:spacing w:after="0" w:line="500" w:lineRule="exact"/>
        <w:ind w:left="0" w:leftChars="0" w:right="0" w:firstLine="480" w:firstLineChars="200"/>
        <w:jc w:val="both"/>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报价并列情形：</w:t>
      </w:r>
    </w:p>
    <w:p w14:paraId="29A5D444">
      <w:pPr>
        <w:keepNext w:val="0"/>
        <w:keepLines/>
        <w:pageBreakBefore w:val="0"/>
        <w:widowControl w:val="0"/>
        <w:kinsoku/>
        <w:wordWrap/>
        <w:overflowPunct/>
        <w:topLinePunct w:val="0"/>
        <w:autoSpaceDE/>
        <w:autoSpaceDN/>
        <w:bidi w:val="0"/>
        <w:adjustRightInd w:val="0"/>
        <w:snapToGrid w:val="0"/>
        <w:spacing w:after="0" w:line="500" w:lineRule="exact"/>
        <w:ind w:left="0" w:leftChars="0" w:right="0" w:firstLine="480" w:firstLineChars="200"/>
        <w:jc w:val="both"/>
        <w:textAlignment w:val="auto"/>
        <w:outlineLvl w:val="9"/>
        <w:rPr>
          <w:rFonts w:hint="default" w:ascii="宋体" w:hAnsi="宋体" w:eastAsia="宋体" w:cs="宋体"/>
          <w:b w:val="0"/>
          <w:bCs w:val="0"/>
          <w:color w:val="FF0000"/>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当竞价中出现供应商报价并列的情形时，由采购人采用抽签方式确定最终中标人。</w:t>
      </w:r>
    </w:p>
    <w:p w14:paraId="3EEE67A7">
      <w:pPr>
        <w:keepNext w:val="0"/>
        <w:keepLines w:val="0"/>
        <w:pageBreakBefore w:val="0"/>
        <w:kinsoku/>
        <w:wordWrap/>
        <w:overflowPunct/>
        <w:topLinePunct w:val="0"/>
        <w:autoSpaceDE/>
        <w:autoSpaceDN/>
        <w:bidi w:val="0"/>
        <w:adjustRightInd/>
        <w:snapToGrid/>
        <w:spacing w:after="0" w:line="500" w:lineRule="exact"/>
        <w:ind w:firstLine="514" w:firstLineChars="200"/>
        <w:rPr>
          <w:rFonts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pacing w:val="8"/>
          <w:sz w:val="24"/>
          <w:szCs w:val="24"/>
          <w:highlight w:val="none"/>
          <w:shd w:val="clear" w:color="auto" w:fill="FFFFFF"/>
          <w14:textFill>
            <w14:solidFill>
              <w14:schemeClr w14:val="tx1"/>
            </w14:solidFill>
          </w14:textFill>
        </w:rPr>
        <w:t>八、费用结算及支付方式：</w:t>
      </w:r>
      <w:r>
        <w:rPr>
          <w:rFonts w:hint="eastAsia" w:ascii="宋体" w:hAnsi="宋体" w:eastAsia="宋体" w:cs="宋体"/>
          <w:bCs/>
          <w:color w:val="000000" w:themeColor="text1"/>
          <w:sz w:val="24"/>
          <w:szCs w:val="24"/>
          <w:highlight w:val="none"/>
          <w14:textFill>
            <w14:solidFill>
              <w14:schemeClr w14:val="tx1"/>
            </w14:solidFill>
          </w14:textFill>
        </w:rPr>
        <w:t>每年</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bCs/>
          <w:color w:val="000000" w:themeColor="text1"/>
          <w:sz w:val="24"/>
          <w:szCs w:val="24"/>
          <w:highlight w:val="none"/>
          <w14:textFill>
            <w14:solidFill>
              <w14:schemeClr w14:val="tx1"/>
            </w14:solidFill>
          </w14:textFill>
        </w:rPr>
        <w:t>次结算并支付服务费。</w:t>
      </w:r>
    </w:p>
    <w:p w14:paraId="20636939">
      <w:pPr>
        <w:keepNext w:val="0"/>
        <w:keepLines w:val="0"/>
        <w:pageBreakBefore w:val="0"/>
        <w:kinsoku/>
        <w:wordWrap/>
        <w:overflowPunct/>
        <w:topLinePunct w:val="0"/>
        <w:autoSpaceDE/>
        <w:autoSpaceDN/>
        <w:bidi w:val="0"/>
        <w:adjustRightInd/>
        <w:snapToGrid/>
        <w:spacing w:after="0" w:line="500" w:lineRule="exact"/>
        <w:ind w:firstLine="514" w:firstLineChars="200"/>
        <w:rPr>
          <w:rFonts w:ascii="Times New Roman" w:hAnsi="Times New Roman" w:eastAsia="宋体" w:cs="Times New Roman"/>
          <w:b/>
          <w:bCs/>
          <w:color w:val="auto"/>
          <w:kern w:val="44"/>
          <w:sz w:val="28"/>
          <w:szCs w:val="28"/>
          <w:highlight w:val="none"/>
        </w:rPr>
      </w:pPr>
      <w:r>
        <w:rPr>
          <w:rFonts w:hint="eastAsia" w:ascii="宋体" w:hAnsi="宋体" w:eastAsia="宋体" w:cs="宋体"/>
          <w:b/>
          <w:bCs/>
          <w:color w:val="auto"/>
          <w:spacing w:val="8"/>
          <w:sz w:val="24"/>
          <w:szCs w:val="24"/>
          <w:highlight w:val="none"/>
          <w:shd w:val="clear" w:color="auto" w:fill="FFFFFF"/>
        </w:rPr>
        <w:t>九、用户反馈和评价机制：</w:t>
      </w:r>
      <w:r>
        <w:rPr>
          <w:rFonts w:hint="eastAsia" w:ascii="宋体" w:hAnsi="宋体" w:eastAsia="宋体" w:cs="宋体"/>
          <w:b w:val="0"/>
          <w:bCs w:val="0"/>
          <w:color w:val="auto"/>
          <w:spacing w:val="8"/>
          <w:sz w:val="24"/>
          <w:szCs w:val="24"/>
          <w:highlight w:val="none"/>
          <w:shd w:val="clear" w:color="auto" w:fill="FFFFFF"/>
        </w:rPr>
        <w:t>采购人在电子平台根据每个单一合同的执行情况，对提供服务的供应商作出评价，其评价结果将作为下一阶段授予合同选择依据。</w:t>
      </w:r>
    </w:p>
    <w:p w14:paraId="20792AAB">
      <w:pPr>
        <w:keepNext w:val="0"/>
        <w:keepLines w:val="0"/>
        <w:pageBreakBefore w:val="0"/>
        <w:kinsoku/>
        <w:wordWrap/>
        <w:overflowPunct/>
        <w:topLinePunct w:val="0"/>
        <w:autoSpaceDE/>
        <w:autoSpaceDN/>
        <w:bidi w:val="0"/>
        <w:adjustRightInd/>
        <w:snapToGrid/>
        <w:spacing w:after="0" w:line="500" w:lineRule="exact"/>
        <w:ind w:firstLine="44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815BA6"/>
    <w:rsid w:val="281F56C2"/>
    <w:rsid w:val="55D773E9"/>
    <w:rsid w:val="689B509F"/>
    <w:rsid w:val="7F0D3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7">
    <w:name w:val="heading 1"/>
    <w:basedOn w:val="1"/>
    <w:next w:val="1"/>
    <w:qFormat/>
    <w:uiPriority w:val="99"/>
    <w:pPr>
      <w:keepNext/>
      <w:keepLines/>
      <w:widowControl w:val="0"/>
      <w:adjustRightInd/>
      <w:snapToGrid/>
      <w:spacing w:before="340" w:after="330" w:line="578" w:lineRule="auto"/>
      <w:jc w:val="both"/>
      <w:outlineLvl w:val="0"/>
    </w:pPr>
    <w:rPr>
      <w:rFonts w:ascii="Times New Roman" w:hAnsi="Times New Roman" w:eastAsia="宋体"/>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99"/>
    <w:pPr>
      <w:ind w:firstLine="420" w:firstLineChars="200"/>
    </w:pPr>
  </w:style>
  <w:style w:type="paragraph" w:styleId="3">
    <w:name w:val="Body Text Indent"/>
    <w:basedOn w:val="1"/>
    <w:next w:val="4"/>
    <w:qFormat/>
    <w:uiPriority w:val="99"/>
    <w:pPr>
      <w:widowControl w:val="0"/>
      <w:adjustRightInd/>
      <w:snapToGrid/>
      <w:spacing w:after="0"/>
      <w:ind w:firstLine="830" w:firstLineChars="352"/>
      <w:jc w:val="both"/>
    </w:pPr>
    <w:rPr>
      <w:rFonts w:ascii="仿宋_GB2312" w:hAnsi="Times New Roman" w:eastAsia="仿宋_GB2312"/>
      <w:kern w:val="2"/>
      <w:sz w:val="32"/>
      <w:szCs w:val="20"/>
    </w:rPr>
  </w:style>
  <w:style w:type="paragraph" w:styleId="4">
    <w:name w:val="envelope return"/>
    <w:basedOn w:val="1"/>
    <w:qFormat/>
    <w:uiPriority w:val="0"/>
    <w:pPr>
      <w:snapToGrid w:val="0"/>
    </w:pPr>
    <w:rPr>
      <w:rFonts w:ascii="Arial" w:hAnsi="Arial"/>
    </w:rPr>
  </w:style>
  <w:style w:type="paragraph" w:styleId="5">
    <w:name w:val="Body Text First Indent"/>
    <w:basedOn w:val="6"/>
    <w:next w:val="1"/>
    <w:qFormat/>
    <w:uiPriority w:val="0"/>
    <w:pPr>
      <w:ind w:firstLine="420" w:firstLineChars="100"/>
    </w:pPr>
  </w:style>
  <w:style w:type="paragraph" w:styleId="6">
    <w:name w:val="Body Text"/>
    <w:basedOn w:val="1"/>
    <w:next w:val="1"/>
    <w:qFormat/>
    <w:uiPriority w:val="99"/>
    <w:pPr>
      <w:widowControl w:val="0"/>
      <w:adjustRightInd/>
      <w:snapToGrid/>
      <w:spacing w:after="0"/>
      <w:ind w:left="220"/>
      <w:jc w:val="both"/>
    </w:pPr>
    <w:rPr>
      <w:rFonts w:ascii="仿宋" w:hAnsi="仿宋" w:eastAsia="仿宋" w:cs="仿宋"/>
      <w:kern w:val="2"/>
      <w:sz w:val="32"/>
      <w:szCs w:val="32"/>
      <w:lang w:val="zh-CN"/>
    </w:rPr>
  </w:style>
  <w:style w:type="paragraph" w:styleId="8">
    <w:name w:val="Normal (Web)"/>
    <w:basedOn w:val="1"/>
    <w:qFormat/>
    <w:uiPriority w:val="99"/>
    <w:pPr>
      <w:adjustRightInd/>
      <w:snapToGrid/>
      <w:spacing w:before="100" w:beforeAutospacing="1" w:after="100" w:afterAutospacing="1"/>
    </w:pPr>
    <w:rPr>
      <w:rFonts w:ascii="宋体" w:hAnsi="宋体" w:eastAsia="宋体"/>
      <w:sz w:val="24"/>
      <w:szCs w:val="24"/>
    </w:rPr>
  </w:style>
  <w:style w:type="paragraph" w:styleId="11">
    <w:name w:val="List Paragraph"/>
    <w:basedOn w:val="1"/>
    <w:autoRedefine/>
    <w:qFormat/>
    <w:uiPriority w:val="34"/>
    <w:pPr>
      <w:ind w:firstLine="420"/>
    </w:pPr>
    <w:rPr>
      <w:rFonts w:ascii="Times New Roman" w:hAnsi="Times New Roman" w:eastAsia="宋体" w:cs="Times New Roman"/>
      <w:szCs w:val="21"/>
    </w:rPr>
  </w:style>
  <w:style w:type="paragraph" w:customStyle="1" w:styleId="12">
    <w:name w:val="首行缩进"/>
    <w:basedOn w:val="1"/>
    <w:autoRedefine/>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2751</Words>
  <Characters>2973</Characters>
  <Lines>0</Lines>
  <Paragraphs>0</Paragraphs>
  <TotalTime>0</TotalTime>
  <ScaleCrop>false</ScaleCrop>
  <LinksUpToDate>false</LinksUpToDate>
  <CharactersWithSpaces>3021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2025-03-07T00:48:00Z</dcterms:created>
  <dc:creator>Administrator</dc:creator>
  <cp:lastModifiedBy>Administrator</cp:lastModifiedBy>
  <dcterms:modified xsi:type="dcterms:W3CDTF">2026-04-14T09:27:17Z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7114FA70B4C94C258B9D06B206C7886A_12</vt:lpwstr>
  </property>
  <property fmtid="{D5CDD505-2E9C-101B-9397-08002B2CF9AE}" pid="4" name="KSOTemplateDocerSaveRecord">
    <vt:lpwstr>eyJoZGlkIjoiN2Y5NDAwZjA1ZjE5MWIwZDMzMTk3MDQwMTI3ZDMxNzQiLCJ1c2VySWQiOiIyOTM1ODYyOTgifQ==</vt:lpwstr>
  </property>
</Properties>
</file>