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B93F31">
      <w:pPr>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黄梅县新开镇卫生院彩色多普勒超声诊断仪采购项目采购需求</w:t>
      </w:r>
    </w:p>
    <w:p w14:paraId="14ECA1DB">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2" w:firstLineChars="200"/>
        <w:textAlignment w:val="auto"/>
        <w:outlineLvl w:val="1"/>
        <w:rPr>
          <w:rFonts w:hint="eastAsia" w:ascii="宋体" w:hAnsi="宋体" w:eastAsia="宋体" w:cs="宋体"/>
          <w:b/>
          <w:bCs/>
          <w:sz w:val="24"/>
          <w:szCs w:val="24"/>
        </w:rPr>
      </w:pPr>
      <w:bookmarkStart w:id="0" w:name="_Toc26026"/>
      <w:r>
        <w:rPr>
          <w:rFonts w:hint="eastAsia" w:ascii="宋体" w:hAnsi="宋体" w:eastAsia="宋体" w:cs="宋体"/>
          <w:b/>
          <w:bCs/>
          <w:sz w:val="24"/>
          <w:szCs w:val="24"/>
          <w:lang w:eastAsia="zh-CN"/>
        </w:rPr>
        <w:t>一、</w:t>
      </w:r>
      <w:r>
        <w:rPr>
          <w:rFonts w:hint="eastAsia" w:ascii="宋体" w:hAnsi="宋体" w:eastAsia="宋体" w:cs="宋体"/>
          <w:b/>
          <w:bCs/>
          <w:sz w:val="24"/>
          <w:szCs w:val="24"/>
        </w:rPr>
        <w:t>项目基本情况</w:t>
      </w:r>
      <w:bookmarkEnd w:id="0"/>
    </w:p>
    <w:p w14:paraId="04157347">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val="hr-HR" w:eastAsia="zh-CN"/>
        </w:rPr>
      </w:pPr>
      <w:bookmarkStart w:id="1" w:name="_Toc8508"/>
      <w:r>
        <w:rPr>
          <w:rFonts w:hint="eastAsia" w:ascii="宋体" w:hAnsi="宋体" w:eastAsia="宋体" w:cs="宋体"/>
          <w:sz w:val="24"/>
          <w:szCs w:val="24"/>
          <w:u w:val="none"/>
          <w:lang w:val="hr-HR"/>
        </w:rPr>
        <w:t>1.</w:t>
      </w:r>
      <w:r>
        <w:rPr>
          <w:rFonts w:hint="eastAsia" w:ascii="宋体" w:hAnsi="宋体" w:eastAsia="宋体" w:cs="宋体"/>
          <w:sz w:val="24"/>
          <w:szCs w:val="24"/>
          <w:u w:val="none"/>
        </w:rPr>
        <w:t>采购计划备案号：</w:t>
      </w:r>
      <w:bookmarkStart w:id="2" w:name="_Hlk162011340"/>
      <w:r>
        <w:rPr>
          <w:rFonts w:hint="eastAsia" w:ascii="宋体" w:hAnsi="宋体" w:eastAsia="宋体" w:cs="宋体"/>
          <w:sz w:val="24"/>
          <w:szCs w:val="24"/>
          <w:u w:val="none"/>
          <w:lang w:val="en-US" w:eastAsia="zh-CN"/>
        </w:rPr>
        <w:t>421127-2025-01797</w:t>
      </w:r>
      <w:bookmarkEnd w:id="2"/>
      <w:r>
        <w:rPr>
          <w:rFonts w:hint="eastAsia" w:ascii="宋体" w:hAnsi="宋体" w:eastAsia="宋体" w:cs="宋体"/>
          <w:sz w:val="24"/>
          <w:szCs w:val="24"/>
          <w:u w:val="none"/>
          <w:lang w:val="hr-HR" w:eastAsia="zh-CN"/>
        </w:rPr>
        <w:t>；</w:t>
      </w:r>
    </w:p>
    <w:p w14:paraId="7A0CCC6C">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eastAsia="zh-CN"/>
        </w:rPr>
      </w:pPr>
      <w:r>
        <w:rPr>
          <w:rFonts w:hint="eastAsia" w:ascii="宋体" w:hAnsi="宋体" w:eastAsia="宋体" w:cs="宋体"/>
          <w:sz w:val="24"/>
          <w:szCs w:val="24"/>
          <w:u w:val="none"/>
        </w:rPr>
        <w:t>2.</w:t>
      </w:r>
      <w:r>
        <w:rPr>
          <w:rFonts w:hint="eastAsia" w:ascii="宋体" w:hAnsi="宋体" w:eastAsia="宋体" w:cs="宋体"/>
          <w:sz w:val="24"/>
          <w:szCs w:val="24"/>
          <w:u w:val="none"/>
          <w:lang w:val="hr-HR"/>
        </w:rPr>
        <w:t>项目编号：</w:t>
      </w:r>
      <w:r>
        <w:rPr>
          <w:rFonts w:hint="eastAsia" w:ascii="宋体" w:hAnsi="宋体" w:eastAsia="宋体" w:cs="宋体"/>
          <w:sz w:val="24"/>
          <w:szCs w:val="24"/>
          <w:u w:val="none"/>
        </w:rPr>
        <w:t xml:space="preserve"> E4201000184056319001</w:t>
      </w:r>
      <w:r>
        <w:rPr>
          <w:rFonts w:hint="eastAsia" w:ascii="宋体" w:hAnsi="宋体" w:eastAsia="宋体" w:cs="宋体"/>
          <w:sz w:val="24"/>
          <w:szCs w:val="24"/>
          <w:u w:val="none"/>
          <w:lang w:val="hr-HR" w:eastAsia="zh-CN"/>
        </w:rPr>
        <w:t>；</w:t>
      </w:r>
    </w:p>
    <w:p w14:paraId="78A5AC5D">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val="hr-HR" w:eastAsia="zh-CN"/>
        </w:rPr>
      </w:pPr>
      <w:r>
        <w:rPr>
          <w:rFonts w:hint="eastAsia" w:ascii="宋体" w:hAnsi="宋体" w:eastAsia="宋体" w:cs="宋体"/>
          <w:sz w:val="24"/>
          <w:szCs w:val="24"/>
          <w:u w:val="none"/>
          <w:lang w:val="hr-HR"/>
        </w:rPr>
        <w:t>3.项目名称：</w:t>
      </w:r>
      <w:r>
        <w:rPr>
          <w:rFonts w:hint="eastAsia" w:ascii="宋体" w:hAnsi="宋体" w:eastAsia="宋体" w:cs="宋体"/>
          <w:sz w:val="24"/>
          <w:szCs w:val="24"/>
          <w:u w:val="none"/>
        </w:rPr>
        <w:t xml:space="preserve"> </w:t>
      </w:r>
      <w:r>
        <w:rPr>
          <w:rFonts w:hint="eastAsia" w:ascii="宋体" w:hAnsi="宋体" w:eastAsia="宋体" w:cs="宋体"/>
          <w:sz w:val="24"/>
          <w:szCs w:val="24"/>
          <w:u w:val="none"/>
          <w:lang w:eastAsia="zh-CN"/>
        </w:rPr>
        <w:t>黄梅县新开镇卫生院彩色多普勒超声诊断仪采购项目；</w:t>
      </w:r>
    </w:p>
    <w:p w14:paraId="12D51E49">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val="hr-HR" w:eastAsia="zh-CN"/>
        </w:rPr>
      </w:pPr>
      <w:r>
        <w:rPr>
          <w:rFonts w:hint="eastAsia" w:ascii="宋体" w:hAnsi="宋体" w:eastAsia="宋体" w:cs="宋体"/>
          <w:sz w:val="24"/>
          <w:szCs w:val="24"/>
          <w:u w:val="none"/>
        </w:rPr>
        <w:t>4.采购方式：公开招标</w:t>
      </w:r>
      <w:r>
        <w:rPr>
          <w:rFonts w:hint="eastAsia" w:ascii="宋体" w:hAnsi="宋体" w:eastAsia="宋体" w:cs="宋体"/>
          <w:sz w:val="24"/>
          <w:szCs w:val="24"/>
          <w:u w:val="none"/>
          <w:lang w:eastAsia="zh-CN"/>
        </w:rPr>
        <w:t>；</w:t>
      </w:r>
    </w:p>
    <w:p w14:paraId="3C1E8443">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val="hr-HR" w:eastAsia="zh-CN"/>
        </w:rPr>
      </w:pPr>
      <w:r>
        <w:rPr>
          <w:rFonts w:hint="eastAsia" w:ascii="宋体" w:hAnsi="宋体" w:eastAsia="宋体" w:cs="宋体"/>
          <w:sz w:val="24"/>
          <w:szCs w:val="24"/>
          <w:u w:val="none"/>
        </w:rPr>
        <w:t>5</w:t>
      </w:r>
      <w:r>
        <w:rPr>
          <w:rFonts w:hint="eastAsia" w:ascii="宋体" w:hAnsi="宋体" w:eastAsia="宋体" w:cs="宋体"/>
          <w:sz w:val="24"/>
          <w:szCs w:val="24"/>
          <w:u w:val="none"/>
          <w:lang w:val="hr-HR"/>
        </w:rPr>
        <w:t>.预算金额：</w:t>
      </w:r>
      <w:r>
        <w:rPr>
          <w:rFonts w:hint="eastAsia" w:ascii="宋体" w:hAnsi="宋体" w:eastAsia="宋体" w:cs="宋体"/>
          <w:sz w:val="24"/>
          <w:szCs w:val="24"/>
          <w:u w:val="none"/>
          <w:lang w:val="en-US" w:eastAsia="zh-CN"/>
        </w:rPr>
        <w:t>195</w:t>
      </w:r>
      <w:r>
        <w:rPr>
          <w:rFonts w:hint="eastAsia" w:ascii="宋体" w:hAnsi="宋体" w:eastAsia="宋体" w:cs="宋体"/>
          <w:sz w:val="24"/>
          <w:szCs w:val="24"/>
          <w:u w:val="none"/>
          <w:lang w:val="hr-HR"/>
        </w:rPr>
        <w:t>万元</w:t>
      </w:r>
      <w:r>
        <w:rPr>
          <w:rFonts w:hint="eastAsia" w:ascii="宋体" w:hAnsi="宋体" w:eastAsia="宋体" w:cs="宋体"/>
          <w:sz w:val="24"/>
          <w:szCs w:val="24"/>
          <w:u w:val="none"/>
          <w:lang w:val="hr-HR" w:eastAsia="zh-CN"/>
        </w:rPr>
        <w:t>；</w:t>
      </w:r>
    </w:p>
    <w:p w14:paraId="339B594D">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val="hr-HR" w:eastAsia="zh-CN"/>
        </w:rPr>
      </w:pPr>
      <w:r>
        <w:rPr>
          <w:rFonts w:hint="eastAsia" w:ascii="宋体" w:hAnsi="宋体" w:eastAsia="宋体" w:cs="宋体"/>
          <w:sz w:val="24"/>
          <w:szCs w:val="24"/>
          <w:u w:val="none"/>
          <w:lang w:val="hr-HR"/>
        </w:rPr>
        <w:t>6.</w:t>
      </w:r>
      <w:r>
        <w:rPr>
          <w:rFonts w:hint="eastAsia" w:ascii="宋体" w:hAnsi="宋体" w:eastAsia="宋体" w:cs="宋体"/>
          <w:sz w:val="24"/>
          <w:szCs w:val="24"/>
          <w:u w:val="none"/>
        </w:rPr>
        <w:t>最高限价</w:t>
      </w:r>
      <w:r>
        <w:rPr>
          <w:rFonts w:hint="eastAsia" w:ascii="宋体" w:hAnsi="宋体" w:eastAsia="宋体" w:cs="宋体"/>
          <w:sz w:val="24"/>
          <w:szCs w:val="24"/>
          <w:u w:val="none"/>
          <w:lang w:val="hr-HR"/>
        </w:rPr>
        <w:t>：</w:t>
      </w:r>
      <w:r>
        <w:rPr>
          <w:rFonts w:hint="eastAsia" w:ascii="宋体" w:hAnsi="宋体" w:eastAsia="宋体" w:cs="宋体"/>
          <w:sz w:val="24"/>
          <w:szCs w:val="24"/>
          <w:u w:val="none"/>
          <w:lang w:val="en-US" w:eastAsia="zh-CN"/>
        </w:rPr>
        <w:t>195</w:t>
      </w:r>
      <w:r>
        <w:rPr>
          <w:rFonts w:hint="eastAsia" w:ascii="宋体" w:hAnsi="宋体" w:eastAsia="宋体" w:cs="宋体"/>
          <w:sz w:val="24"/>
          <w:szCs w:val="24"/>
          <w:u w:val="none"/>
        </w:rPr>
        <w:t>万元（投标人的投标报价不得超过最高限价，投标报价应包含货物（设备）的制造、包装、运输、装卸、保险、安装调试、验收、检验、人员培训、税金等一切费用）</w:t>
      </w:r>
      <w:r>
        <w:rPr>
          <w:rFonts w:hint="eastAsia" w:ascii="宋体" w:hAnsi="宋体" w:eastAsia="宋体" w:cs="宋体"/>
          <w:sz w:val="24"/>
          <w:szCs w:val="24"/>
          <w:u w:val="none"/>
          <w:lang w:eastAsia="zh-CN"/>
        </w:rPr>
        <w:t>；</w:t>
      </w:r>
    </w:p>
    <w:p w14:paraId="2658FC9B">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val="hr-HR"/>
        </w:rPr>
      </w:pPr>
      <w:r>
        <w:rPr>
          <w:rFonts w:hint="eastAsia" w:ascii="宋体" w:hAnsi="宋体" w:eastAsia="宋体" w:cs="宋体"/>
          <w:sz w:val="24"/>
          <w:szCs w:val="24"/>
          <w:u w:val="none"/>
        </w:rPr>
        <w:t>7</w:t>
      </w:r>
      <w:r>
        <w:rPr>
          <w:rFonts w:hint="eastAsia" w:ascii="宋体" w:hAnsi="宋体" w:eastAsia="宋体" w:cs="宋体"/>
          <w:sz w:val="24"/>
          <w:szCs w:val="24"/>
          <w:u w:val="none"/>
          <w:lang w:val="hr-HR"/>
        </w:rPr>
        <w:t>.采购需求：</w:t>
      </w:r>
      <w:r>
        <w:rPr>
          <w:rFonts w:hint="eastAsia" w:ascii="宋体" w:hAnsi="宋体" w:eastAsia="宋体" w:cs="宋体"/>
          <w:sz w:val="24"/>
          <w:szCs w:val="24"/>
          <w:u w:val="none"/>
          <w:lang w:eastAsia="zh-CN"/>
        </w:rPr>
        <w:t>采购彩色多普勒超声诊断系统一套，</w:t>
      </w:r>
      <w:r>
        <w:rPr>
          <w:rFonts w:hint="eastAsia" w:ascii="宋体" w:hAnsi="宋体" w:eastAsia="宋体" w:cs="宋体"/>
          <w:sz w:val="24"/>
          <w:szCs w:val="24"/>
          <w:u w:val="none"/>
          <w:lang w:val="hr-HR" w:eastAsia="zh-CN"/>
        </w:rPr>
        <w:t>详见招标文件第三章项目采购需求；</w:t>
      </w:r>
    </w:p>
    <w:p w14:paraId="0AA4EB92">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rPr>
        <w:t>8.合同履行期限：</w:t>
      </w:r>
      <w:r>
        <w:rPr>
          <w:rFonts w:hint="eastAsia" w:ascii="宋体" w:hAnsi="宋体" w:eastAsia="宋体" w:cs="宋体"/>
          <w:sz w:val="24"/>
          <w:szCs w:val="24"/>
          <w:u w:val="none"/>
          <w:lang w:val="en-US" w:eastAsia="zh-CN"/>
        </w:rPr>
        <w:t>合同签订之日起30个日历天交货，并完成所有设备的安装调试并验收合格后交付使用；</w:t>
      </w:r>
    </w:p>
    <w:p w14:paraId="7778D5A0">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9.质保期：1年；</w:t>
      </w:r>
    </w:p>
    <w:p w14:paraId="19594F2D">
      <w:pPr>
        <w:pStyle w:val="13"/>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u w:val="none"/>
          <w:lang w:eastAsia="zh-CN"/>
        </w:rPr>
      </w:pPr>
      <w:r>
        <w:rPr>
          <w:rFonts w:hint="eastAsia" w:ascii="宋体" w:hAnsi="宋体" w:eastAsia="宋体" w:cs="宋体"/>
          <w:sz w:val="24"/>
          <w:szCs w:val="24"/>
          <w:u w:val="none"/>
          <w:lang w:val="en-US" w:eastAsia="zh-CN"/>
        </w:rPr>
        <w:t>10</w:t>
      </w:r>
      <w:r>
        <w:rPr>
          <w:rFonts w:hint="eastAsia" w:ascii="宋体" w:hAnsi="宋体" w:eastAsia="宋体" w:cs="宋体"/>
          <w:sz w:val="24"/>
          <w:szCs w:val="24"/>
          <w:u w:val="none"/>
        </w:rPr>
        <w:t>.</w:t>
      </w:r>
      <w:bookmarkStart w:id="3" w:name="_Hlk162011358"/>
      <w:r>
        <w:rPr>
          <w:rFonts w:hint="eastAsia" w:ascii="宋体" w:hAnsi="宋体" w:eastAsia="宋体" w:cs="宋体"/>
          <w:sz w:val="24"/>
          <w:szCs w:val="24"/>
          <w:u w:val="none"/>
        </w:rPr>
        <w:t>接受联合体投标：否</w:t>
      </w:r>
      <w:bookmarkEnd w:id="3"/>
      <w:r>
        <w:rPr>
          <w:rFonts w:hint="eastAsia" w:ascii="宋体" w:hAnsi="宋体" w:eastAsia="宋体" w:cs="宋体"/>
          <w:sz w:val="24"/>
          <w:szCs w:val="24"/>
          <w:u w:val="none"/>
          <w:lang w:eastAsia="zh-CN"/>
        </w:rPr>
        <w:t>；</w:t>
      </w:r>
    </w:p>
    <w:p w14:paraId="34C892FA">
      <w:pPr>
        <w:keepNext w:val="0"/>
        <w:keepLines w:val="0"/>
        <w:pageBreakBefore w:val="0"/>
        <w:widowControl/>
        <w:suppressLineNumbers w:val="0"/>
        <w:kinsoku/>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u w:val="none"/>
        </w:rPr>
      </w:pPr>
      <w:r>
        <w:rPr>
          <w:rFonts w:hint="eastAsia" w:ascii="宋体" w:hAnsi="宋体" w:eastAsia="宋体" w:cs="宋体"/>
          <w:color w:val="000000"/>
          <w:kern w:val="0"/>
          <w:sz w:val="24"/>
          <w:szCs w:val="24"/>
          <w:u w:val="none"/>
          <w:lang w:val="en-US" w:eastAsia="zh-CN" w:bidi="ar"/>
        </w:rPr>
        <w:t>11.是否可采购进口产品：否 ；</w:t>
      </w:r>
    </w:p>
    <w:p w14:paraId="5A0810EE">
      <w:pPr>
        <w:keepNext w:val="0"/>
        <w:keepLines w:val="0"/>
        <w:pageBreakBefore w:val="0"/>
        <w:widowControl/>
        <w:suppressLineNumbers w:val="0"/>
        <w:kinsoku/>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u w:val="none"/>
        </w:rPr>
      </w:pPr>
      <w:r>
        <w:rPr>
          <w:rFonts w:hint="eastAsia" w:ascii="宋体" w:hAnsi="宋体" w:eastAsia="宋体" w:cs="宋体"/>
          <w:color w:val="000000"/>
          <w:kern w:val="0"/>
          <w:sz w:val="24"/>
          <w:szCs w:val="24"/>
          <w:u w:val="none"/>
          <w:lang w:val="en-US" w:eastAsia="zh-CN" w:bidi="ar"/>
        </w:rPr>
        <w:t>12.本项目（是/否）接受合同分包：否；</w:t>
      </w:r>
    </w:p>
    <w:p w14:paraId="5F2C5882">
      <w:pPr>
        <w:keepNext w:val="0"/>
        <w:keepLines w:val="0"/>
        <w:pageBreakBefore w:val="0"/>
        <w:widowControl/>
        <w:suppressLineNumbers w:val="0"/>
        <w:kinsoku/>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u w:val="none"/>
        </w:rPr>
      </w:pPr>
      <w:r>
        <w:rPr>
          <w:rFonts w:hint="eastAsia" w:ascii="宋体" w:hAnsi="宋体" w:eastAsia="宋体" w:cs="宋体"/>
          <w:color w:val="000000"/>
          <w:kern w:val="0"/>
          <w:sz w:val="24"/>
          <w:szCs w:val="24"/>
          <w:u w:val="none"/>
          <w:lang w:val="en-US" w:eastAsia="zh-CN" w:bidi="ar"/>
        </w:rPr>
        <w:t>13.本项目（是/否）专门面向中小微企业：否 ；</w:t>
      </w:r>
    </w:p>
    <w:p w14:paraId="4C9FDCE2">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outlineLvl w:val="1"/>
        <w:rPr>
          <w:rFonts w:hint="eastAsia" w:ascii="宋体" w:hAnsi="宋体" w:eastAsia="宋体" w:cs="宋体"/>
          <w:color w:val="000000"/>
          <w:kern w:val="0"/>
          <w:sz w:val="24"/>
          <w:szCs w:val="24"/>
          <w:u w:val="none"/>
          <w:lang w:val="en-US" w:eastAsia="zh-CN" w:bidi="ar"/>
        </w:rPr>
      </w:pPr>
      <w:r>
        <w:rPr>
          <w:rFonts w:hint="eastAsia" w:ascii="宋体" w:hAnsi="宋体" w:eastAsia="宋体" w:cs="宋体"/>
          <w:color w:val="000000"/>
          <w:kern w:val="0"/>
          <w:sz w:val="24"/>
          <w:szCs w:val="24"/>
          <w:u w:val="none"/>
          <w:lang w:val="en-US" w:eastAsia="zh-CN" w:bidi="ar"/>
        </w:rPr>
        <w:t>14.符合条件的小微企业价格扣除优惠为：10%。</w:t>
      </w:r>
    </w:p>
    <w:p w14:paraId="066957E7">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2" w:firstLineChars="200"/>
        <w:textAlignment w:val="auto"/>
        <w:outlineLvl w:val="1"/>
        <w:rPr>
          <w:rFonts w:hint="eastAsia" w:ascii="宋体" w:hAnsi="宋体" w:eastAsia="宋体" w:cs="宋体"/>
          <w:b/>
          <w:bCs/>
          <w:sz w:val="24"/>
          <w:szCs w:val="24"/>
        </w:rPr>
      </w:pPr>
      <w:r>
        <w:rPr>
          <w:rFonts w:hint="eastAsia" w:ascii="宋体" w:hAnsi="宋体" w:eastAsia="宋体" w:cs="宋体"/>
          <w:b/>
          <w:bCs/>
          <w:sz w:val="24"/>
          <w:szCs w:val="24"/>
        </w:rPr>
        <w:t>二、申请人的资格要求</w:t>
      </w:r>
      <w:bookmarkEnd w:id="1"/>
    </w:p>
    <w:p w14:paraId="3988BD44">
      <w:pPr>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1.满足《中华人民共和国政府采购法》第二十二条规定，即：</w:t>
      </w:r>
    </w:p>
    <w:p w14:paraId="4AF1C5B7">
      <w:pPr>
        <w:pStyle w:val="9"/>
        <w:keepNext w:val="0"/>
        <w:keepLines w:val="0"/>
        <w:pageBreakBefore w:val="0"/>
        <w:numPr>
          <w:ilvl w:val="0"/>
          <w:numId w:val="1"/>
        </w:numPr>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具有独立承担民事责任的能力；</w:t>
      </w:r>
    </w:p>
    <w:p w14:paraId="2CA9B593">
      <w:pPr>
        <w:pStyle w:val="9"/>
        <w:keepNext w:val="0"/>
        <w:keepLines w:val="0"/>
        <w:pageBreakBefore w:val="0"/>
        <w:numPr>
          <w:ilvl w:val="0"/>
          <w:numId w:val="1"/>
        </w:numPr>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具有良好的商业信誉和健全的财务会计制度；</w:t>
      </w:r>
    </w:p>
    <w:p w14:paraId="6C64AA5A">
      <w:pPr>
        <w:pStyle w:val="9"/>
        <w:keepNext w:val="0"/>
        <w:keepLines w:val="0"/>
        <w:pageBreakBefore w:val="0"/>
        <w:numPr>
          <w:ilvl w:val="0"/>
          <w:numId w:val="1"/>
        </w:numPr>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具有履行合同所必需的设备和专业技术能力；</w:t>
      </w:r>
    </w:p>
    <w:p w14:paraId="6D92E712">
      <w:pPr>
        <w:pStyle w:val="9"/>
        <w:keepNext w:val="0"/>
        <w:keepLines w:val="0"/>
        <w:pageBreakBefore w:val="0"/>
        <w:numPr>
          <w:ilvl w:val="0"/>
          <w:numId w:val="1"/>
        </w:numPr>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有依法缴纳税收和社会保障资金的良好记录；</w:t>
      </w:r>
    </w:p>
    <w:p w14:paraId="6B807312">
      <w:pPr>
        <w:pStyle w:val="9"/>
        <w:keepNext w:val="0"/>
        <w:keepLines w:val="0"/>
        <w:pageBreakBefore w:val="0"/>
        <w:numPr>
          <w:ilvl w:val="0"/>
          <w:numId w:val="1"/>
        </w:numPr>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参加政府采购活动前三年内，在经营活动中没有重大违法记录；</w:t>
      </w:r>
    </w:p>
    <w:p w14:paraId="306DB28A">
      <w:pPr>
        <w:pStyle w:val="9"/>
        <w:keepNext w:val="0"/>
        <w:keepLines w:val="0"/>
        <w:pageBreakBefore w:val="0"/>
        <w:numPr>
          <w:ilvl w:val="0"/>
          <w:numId w:val="1"/>
        </w:numPr>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法律、行政法规规定的其他条件。</w:t>
      </w:r>
    </w:p>
    <w:p w14:paraId="66F990EC">
      <w:pPr>
        <w:keepNext w:val="0"/>
        <w:keepLines w:val="0"/>
        <w:pageBreakBefore w:val="0"/>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2.未被列入失信被执行人、“重大税收违法失信主体”，未被列入政府采购严重违法失信行为记录名单。</w:t>
      </w:r>
    </w:p>
    <w:p w14:paraId="3AF19F8B">
      <w:pPr>
        <w:keepNext w:val="0"/>
        <w:keepLines w:val="0"/>
        <w:pageBreakBefore w:val="0"/>
        <w:widowControl/>
        <w:suppressLineNumbers w:val="0"/>
        <w:kinsoku/>
        <w:overflowPunct/>
        <w:topLinePunct w:val="0"/>
        <w:autoSpaceDE/>
        <w:autoSpaceDN/>
        <w:bidi w:val="0"/>
        <w:spacing w:line="360" w:lineRule="auto"/>
        <w:ind w:left="0" w:firstLine="480" w:firstLineChars="200"/>
        <w:jc w:val="left"/>
        <w:textAlignment w:val="auto"/>
        <w:rPr>
          <w:rFonts w:hint="eastAsia" w:ascii="宋体" w:hAnsi="宋体" w:eastAsia="宋体" w:cs="宋体"/>
          <w:sz w:val="24"/>
          <w:szCs w:val="24"/>
        </w:rPr>
      </w:pPr>
      <w:bookmarkStart w:id="4" w:name="_Hlk89807755"/>
      <w:r>
        <w:rPr>
          <w:rFonts w:hint="eastAsia" w:ascii="宋体" w:hAnsi="宋体" w:eastAsia="宋体" w:cs="宋体"/>
          <w:sz w:val="24"/>
          <w:szCs w:val="24"/>
        </w:rPr>
        <w:t>3.落实政府采购政策需满足的资格要求：</w:t>
      </w:r>
      <w:r>
        <w:rPr>
          <w:rFonts w:hint="eastAsia" w:ascii="宋体" w:hAnsi="宋体" w:eastAsia="宋体" w:cs="宋体"/>
          <w:color w:val="000000"/>
          <w:kern w:val="0"/>
          <w:sz w:val="24"/>
          <w:szCs w:val="24"/>
          <w:lang w:val="en-US" w:eastAsia="zh-CN" w:bidi="ar"/>
        </w:rPr>
        <w:t>本项目为非面向中小企业采购。</w:t>
      </w:r>
    </w:p>
    <w:p w14:paraId="6B9CBDCB">
      <w:pPr>
        <w:keepNext w:val="0"/>
        <w:keepLines w:val="0"/>
        <w:pageBreakBefore w:val="0"/>
        <w:numPr>
          <w:ilvl w:val="0"/>
          <w:numId w:val="2"/>
        </w:numPr>
        <w:kinsoku/>
        <w:overflowPunct/>
        <w:topLinePunct w:val="0"/>
        <w:autoSpaceDE/>
        <w:autoSpaceDN/>
        <w:bidi w:val="0"/>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投标人特定资格要求：</w:t>
      </w:r>
    </w:p>
    <w:p w14:paraId="3CCF12F3">
      <w:pPr>
        <w:keepNext w:val="0"/>
        <w:keepLines w:val="0"/>
        <w:pageBreakBefore w:val="0"/>
        <w:widowControl/>
        <w:suppressLineNumbers w:val="0"/>
        <w:kinsoku/>
        <w:overflowPunct/>
        <w:topLinePunct w:val="0"/>
        <w:autoSpaceDE/>
        <w:autoSpaceDN/>
        <w:bidi w:val="0"/>
        <w:spacing w:beforeAutospacing="0" w:afterAutospacing="0" w:line="360" w:lineRule="auto"/>
        <w:ind w:left="0" w:right="0" w:firstLine="480" w:firstLineChars="200"/>
        <w:jc w:val="left"/>
        <w:textAlignment w:val="auto"/>
        <w:rPr>
          <w:rFonts w:hint="eastAsia" w:ascii="宋体" w:hAnsi="宋体" w:eastAsia="宋体" w:cs="宋体"/>
          <w:sz w:val="24"/>
          <w:szCs w:val="24"/>
        </w:rPr>
      </w:pPr>
      <w:r>
        <w:rPr>
          <w:rFonts w:hint="eastAsia" w:ascii="宋体" w:hAnsi="宋体" w:eastAsia="宋体" w:cs="宋体"/>
          <w:color w:val="auto"/>
          <w:kern w:val="0"/>
          <w:sz w:val="24"/>
          <w:szCs w:val="24"/>
          <w:lang w:val="en-US" w:eastAsia="zh-CN" w:bidi="ar"/>
        </w:rPr>
        <w:t>（1）医疗器械制造商：①企业法人营业执照（三证合一或五证合一的营业执照）（扫描件）、②法人委托书（扫描件）、被委托人身份证（扫描件）、③医疗器械生产企业许可证（扫描件）、④医疗器械注册证或医疗器械注册登记表（扫描件），国家另有规定的从其规定；</w:t>
      </w:r>
    </w:p>
    <w:p w14:paraId="6AB839F3">
      <w:pPr>
        <w:keepNext w:val="0"/>
        <w:keepLines w:val="0"/>
        <w:pageBreakBefore w:val="0"/>
        <w:widowControl/>
        <w:suppressLineNumbers w:val="0"/>
        <w:kinsoku/>
        <w:overflowPunct/>
        <w:topLinePunct w:val="0"/>
        <w:autoSpaceDE/>
        <w:autoSpaceDN/>
        <w:bidi w:val="0"/>
        <w:spacing w:beforeAutospacing="0" w:afterAutospacing="0" w:line="360" w:lineRule="auto"/>
        <w:ind w:left="0" w:right="0" w:firstLine="480" w:firstLineChars="200"/>
        <w:jc w:val="left"/>
        <w:textAlignment w:val="auto"/>
        <w:rPr>
          <w:rFonts w:hint="eastAsia" w:ascii="宋体" w:hAnsi="宋体" w:eastAsia="宋体" w:cs="宋体"/>
          <w:sz w:val="24"/>
          <w:szCs w:val="24"/>
        </w:rPr>
      </w:pPr>
      <w:r>
        <w:rPr>
          <w:rFonts w:hint="eastAsia" w:ascii="宋体" w:hAnsi="宋体" w:eastAsia="宋体" w:cs="宋体"/>
          <w:color w:val="auto"/>
          <w:kern w:val="0"/>
          <w:sz w:val="24"/>
          <w:szCs w:val="24"/>
          <w:lang w:val="en-US" w:eastAsia="zh-CN" w:bidi="ar"/>
        </w:rPr>
        <w:t>（2）医疗器械经销商：①企业法人营业执照（三证合一或五证合一的营业执照）（扫描件）、②法人委托书（扫描件）、被委托人身份证（扫描件）、③相应类别医疗器械经营许可证或相应类别医疗器械经营备案证（扫描件）、④医疗器械注册证或医疗器械注册登记表（扫描件），国家另有规定的从其规定。</w:t>
      </w:r>
    </w:p>
    <w:bookmarkEnd w:id="4"/>
    <w:p w14:paraId="4C04ED8C">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三、采购需求</w:t>
      </w:r>
    </w:p>
    <w:p w14:paraId="1A168DEE">
      <w:pPr>
        <w:pStyle w:val="4"/>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一、采购清单</w:t>
      </w:r>
    </w:p>
    <w:tbl>
      <w:tblPr>
        <w:tblStyle w:val="6"/>
        <w:tblpPr w:leftFromText="180" w:rightFromText="180" w:vertAnchor="text" w:horzAnchor="page" w:tblpX="1800" w:tblpY="279"/>
        <w:tblOverlap w:val="never"/>
        <w:tblW w:w="86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75"/>
        <w:gridCol w:w="1250"/>
        <w:gridCol w:w="1620"/>
        <w:gridCol w:w="1770"/>
        <w:gridCol w:w="1470"/>
      </w:tblGrid>
      <w:tr w14:paraId="27936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atLeast"/>
        </w:trPr>
        <w:tc>
          <w:tcPr>
            <w:tcW w:w="2575" w:type="dxa"/>
            <w:tcBorders>
              <w:top w:val="single" w:color="000000" w:sz="4" w:space="0"/>
              <w:left w:val="single" w:color="000000" w:sz="4" w:space="0"/>
              <w:bottom w:val="single" w:color="000000" w:sz="4" w:space="0"/>
              <w:right w:val="single" w:color="000000" w:sz="4" w:space="0"/>
            </w:tcBorders>
            <w:noWrap w:val="0"/>
            <w:vAlign w:val="center"/>
          </w:tcPr>
          <w:p w14:paraId="0CFDA192">
            <w:pPr>
              <w:pStyle w:val="4"/>
              <w:keepNext w:val="0"/>
              <w:keepLines w:val="0"/>
              <w:pageBreakBefore w:val="0"/>
              <w:kinsoku/>
              <w:overflowPunct/>
              <w:topLinePunct w:val="0"/>
              <w:autoSpaceDE/>
              <w:autoSpaceDN/>
              <w:bidi w:val="0"/>
              <w:spacing w:line="24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设备名称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C8D1D3">
            <w:pPr>
              <w:pStyle w:val="4"/>
              <w:keepNext w:val="0"/>
              <w:keepLines w:val="0"/>
              <w:pageBreakBefore w:val="0"/>
              <w:kinsoku/>
              <w:overflowPunct/>
              <w:topLinePunct w:val="0"/>
              <w:autoSpaceDE/>
              <w:autoSpaceDN/>
              <w:bidi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数量（套）</w:t>
            </w:r>
          </w:p>
        </w:tc>
        <w:tc>
          <w:tcPr>
            <w:tcW w:w="1620" w:type="dxa"/>
            <w:tcBorders>
              <w:top w:val="single" w:color="000000" w:sz="4" w:space="0"/>
              <w:left w:val="single" w:color="000000" w:sz="4" w:space="0"/>
              <w:bottom w:val="single" w:color="000000" w:sz="4" w:space="0"/>
              <w:right w:val="single" w:color="000000" w:sz="4" w:space="0"/>
            </w:tcBorders>
            <w:noWrap w:val="0"/>
            <w:vAlign w:val="center"/>
          </w:tcPr>
          <w:p w14:paraId="2C54F0CC">
            <w:pPr>
              <w:pStyle w:val="4"/>
              <w:keepNext w:val="0"/>
              <w:keepLines w:val="0"/>
              <w:pageBreakBefore w:val="0"/>
              <w:kinsoku/>
              <w:overflowPunct/>
              <w:topLinePunct w:val="0"/>
              <w:autoSpaceDE/>
              <w:autoSpaceDN/>
              <w:bidi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单价限价</w:t>
            </w:r>
          </w:p>
          <w:p w14:paraId="1AA195A0">
            <w:pPr>
              <w:pStyle w:val="4"/>
              <w:keepNext w:val="0"/>
              <w:keepLines w:val="0"/>
              <w:pageBreakBefore w:val="0"/>
              <w:kinsoku/>
              <w:overflowPunct/>
              <w:topLinePunct w:val="0"/>
              <w:autoSpaceDE/>
              <w:autoSpaceDN/>
              <w:bidi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（万元）</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14:paraId="3ADC003F">
            <w:pPr>
              <w:pStyle w:val="4"/>
              <w:keepNext w:val="0"/>
              <w:keepLines w:val="0"/>
              <w:pageBreakBefore w:val="0"/>
              <w:kinsoku/>
              <w:overflowPunct/>
              <w:topLinePunct w:val="0"/>
              <w:autoSpaceDE/>
              <w:autoSpaceDN/>
              <w:bidi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总价限价</w:t>
            </w:r>
          </w:p>
          <w:p w14:paraId="24816665">
            <w:pPr>
              <w:pStyle w:val="4"/>
              <w:keepNext w:val="0"/>
              <w:keepLines w:val="0"/>
              <w:pageBreakBefore w:val="0"/>
              <w:kinsoku/>
              <w:overflowPunct/>
              <w:topLinePunct w:val="0"/>
              <w:autoSpaceDE/>
              <w:autoSpaceDN/>
              <w:bidi w:val="0"/>
              <w:spacing w:line="24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（万元）</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5F8AB556">
            <w:pPr>
              <w:pStyle w:val="4"/>
              <w:keepNext w:val="0"/>
              <w:keepLines w:val="0"/>
              <w:pageBreakBefore w:val="0"/>
              <w:kinsoku/>
              <w:overflowPunct/>
              <w:topLinePunct w:val="0"/>
              <w:autoSpaceDE/>
              <w:autoSpaceDN/>
              <w:bidi w:val="0"/>
              <w:spacing w:line="24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备注</w:t>
            </w:r>
          </w:p>
        </w:tc>
      </w:tr>
      <w:tr w14:paraId="49887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3" w:hRule="atLeast"/>
        </w:trPr>
        <w:tc>
          <w:tcPr>
            <w:tcW w:w="2575" w:type="dxa"/>
            <w:tcBorders>
              <w:top w:val="single" w:color="000000" w:sz="4" w:space="0"/>
              <w:left w:val="single" w:color="000000" w:sz="4" w:space="0"/>
              <w:bottom w:val="single" w:color="000000" w:sz="4" w:space="0"/>
              <w:right w:val="single" w:color="000000" w:sz="4" w:space="0"/>
            </w:tcBorders>
            <w:noWrap w:val="0"/>
            <w:vAlign w:val="center"/>
          </w:tcPr>
          <w:p w14:paraId="416EC9FA">
            <w:pPr>
              <w:pStyle w:val="4"/>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彩色多普勒超声诊断系统</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0EAD7C9">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620" w:type="dxa"/>
            <w:tcBorders>
              <w:left w:val="single" w:color="000000" w:sz="4" w:space="0"/>
              <w:bottom w:val="single" w:color="000000" w:sz="4" w:space="0"/>
              <w:right w:val="single" w:color="000000" w:sz="4" w:space="0"/>
            </w:tcBorders>
            <w:noWrap w:val="0"/>
            <w:vAlign w:val="center"/>
          </w:tcPr>
          <w:p w14:paraId="2B316339">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195</w:t>
            </w:r>
          </w:p>
        </w:tc>
        <w:tc>
          <w:tcPr>
            <w:tcW w:w="1770" w:type="dxa"/>
            <w:tcBorders>
              <w:left w:val="single" w:color="000000" w:sz="4" w:space="0"/>
              <w:bottom w:val="single" w:color="000000" w:sz="4" w:space="0"/>
              <w:right w:val="single" w:color="000000" w:sz="4" w:space="0"/>
            </w:tcBorders>
            <w:noWrap w:val="0"/>
            <w:vAlign w:val="center"/>
          </w:tcPr>
          <w:p w14:paraId="4C255E43">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195</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14:paraId="1945234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bookmarkStart w:id="6" w:name="_GoBack"/>
            <w:bookmarkEnd w:id="6"/>
          </w:p>
        </w:tc>
      </w:tr>
      <w:tr w14:paraId="5BD5D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575" w:type="dxa"/>
            <w:tcBorders>
              <w:top w:val="single" w:color="000000" w:sz="4" w:space="0"/>
              <w:left w:val="single" w:color="000000" w:sz="4" w:space="0"/>
              <w:bottom w:val="single" w:color="000000" w:sz="4" w:space="0"/>
              <w:right w:val="single" w:color="000000" w:sz="4" w:space="0"/>
            </w:tcBorders>
            <w:noWrap w:val="0"/>
            <w:vAlign w:val="center"/>
          </w:tcPr>
          <w:p w14:paraId="520D79B5">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质保期</w:t>
            </w:r>
          </w:p>
        </w:tc>
        <w:tc>
          <w:tcPr>
            <w:tcW w:w="6110" w:type="dxa"/>
            <w:gridSpan w:val="4"/>
            <w:tcBorders>
              <w:top w:val="single" w:color="000000" w:sz="4" w:space="0"/>
              <w:left w:val="single" w:color="000000" w:sz="4" w:space="0"/>
              <w:bottom w:val="single" w:color="000000" w:sz="4" w:space="0"/>
              <w:right w:val="single" w:color="000000" w:sz="4" w:space="0"/>
            </w:tcBorders>
            <w:noWrap w:val="0"/>
            <w:vAlign w:val="center"/>
          </w:tcPr>
          <w:p w14:paraId="7DDA9515">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壹年</w:t>
            </w:r>
          </w:p>
        </w:tc>
      </w:tr>
    </w:tbl>
    <w:p w14:paraId="163B2577">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p>
    <w:p w14:paraId="798FB61C">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备注:(投标报价含所有相关费用，如:劳务、管理、利润、税金、协调、运输、搬运、安装、售后服务以及所有的不定因素的风险等)。</w:t>
      </w:r>
    </w:p>
    <w:p w14:paraId="029D4E70">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二、质保期：壹年。</w:t>
      </w:r>
    </w:p>
    <w:p w14:paraId="6D45ECCC">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三、合同履行期限（交货期）：</w:t>
      </w:r>
      <w:r>
        <w:rPr>
          <w:rFonts w:hint="eastAsia" w:ascii="宋体" w:hAnsi="宋体" w:eastAsia="宋体" w:cs="宋体"/>
          <w:sz w:val="24"/>
          <w:szCs w:val="24"/>
          <w:lang w:eastAsia="zh-CN"/>
        </w:rPr>
        <w:t>合同签订后</w:t>
      </w:r>
      <w:r>
        <w:rPr>
          <w:rFonts w:hint="eastAsia" w:ascii="宋体" w:hAnsi="宋体" w:eastAsia="宋体" w:cs="宋体"/>
          <w:sz w:val="24"/>
          <w:szCs w:val="24"/>
          <w:lang w:val="en-US" w:eastAsia="zh-CN"/>
        </w:rPr>
        <w:t>30日历天。</w:t>
      </w:r>
    </w:p>
    <w:p w14:paraId="7F0B4F73">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四、付款方式：合同中约定。</w:t>
      </w:r>
    </w:p>
    <w:p w14:paraId="793F2BE0">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五、主要技术规格及系统概述：</w:t>
      </w:r>
    </w:p>
    <w:p w14:paraId="69B2CF46">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（一）用途说明</w:t>
      </w:r>
    </w:p>
    <w:p w14:paraId="7235B62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1.1.用途：用于成人心脏、儿童心脏、血管（外周、脑血管）、腹部、浅表器官等;并具备二维和实时三维经胸及经食管超声心动图成像技术，超声临床诊断应用和相关科研为主。</w:t>
      </w:r>
    </w:p>
    <w:p w14:paraId="21EEE95E">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（二）物理规格及人机交互要求</w:t>
      </w:r>
    </w:p>
    <w:p w14:paraId="51001AD5">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显示器要求：≥23.8英寸高分辨率彩色液晶显示器，亮度可对比度通过预设可调，≥2个显示器关节支撑臂，显示器可以上下倾斜、左右旋转、前后移动，具有独立的显示器锁定装置（非关节臂锁定），可以更好的保护显示器，避免损坏。</w:t>
      </w:r>
    </w:p>
    <w:p w14:paraId="27329042">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2.2.触摸屏要求：≥15.6英寸彩色触摸屏，触摸屏角度可以独立于主机调节（机身静止状态下，独立调节角度≥25度）。</w:t>
      </w:r>
    </w:p>
    <w:p w14:paraId="3468EF43">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p>
    <w:p w14:paraId="275918AC">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 xml:space="preserve">2.3.触摸屏支持手势控制（提供手势控制的证明图片），支持手写和带上橡胶手套触摸，支持触摸屏编辑（长按进行按钮添加、删除、或移动）。 </w:t>
      </w:r>
    </w:p>
    <w:p w14:paraId="76B9298F">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2.4.操作面板具有独立调节功能（即电动上下升降、左右旋转），方便操作者进行操作。</w:t>
      </w:r>
    </w:p>
    <w:p w14:paraId="269A6606">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2.5.探头接口数量≥5个（4个探头接口均为无针式接口且互通互用，一个挂口）。</w:t>
      </w:r>
    </w:p>
    <w:p w14:paraId="2A74628C">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2.6.中央刹车和直行锁功能（提供机器图片）。</w:t>
      </w:r>
    </w:p>
    <w:p w14:paraId="786C855A">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2.7.采用Windows 10操作系统，流畅使用体验，舒心安全保护。</w:t>
      </w:r>
    </w:p>
    <w:p w14:paraId="6A0579AC">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2.8.可配置内置电池。</w:t>
      </w:r>
    </w:p>
    <w:p w14:paraId="408EED5E">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（三）系统成像技术</w:t>
      </w:r>
    </w:p>
    <w:p w14:paraId="19FA471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3.1.二维灰阶模式。</w:t>
      </w:r>
    </w:p>
    <w:p w14:paraId="6EBA4467">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3.2.M型模式。</w:t>
      </w:r>
    </w:p>
    <w:p w14:paraId="31EBA78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3.3.彩色M型模式。</w:t>
      </w:r>
    </w:p>
    <w:p w14:paraId="3CB59B0B">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3.4.解剖M型模式（≥3条取样线，360度自由旋转）。</w:t>
      </w:r>
    </w:p>
    <w:p w14:paraId="5D46D90D">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3.5.彩色多普勒成像。</w:t>
      </w:r>
    </w:p>
    <w:p w14:paraId="602CB41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3.6.频谱多普勒成像，连续多普勒成像（要求线阵探头可支持连续多普勒成像）。</w:t>
      </w:r>
    </w:p>
    <w:p w14:paraId="78B35F5B">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3.7.穿刺针增强技术，凸阵和线阵探头均可支持，具有双屏双实时对比显示，增强前后效果，并支持自适应校正角度。</w:t>
      </w:r>
    </w:p>
    <w:p w14:paraId="256A5AAB">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3.8 .宽景拼接成像技术（非拓展成像）。</w:t>
      </w:r>
    </w:p>
    <w:p w14:paraId="792ED2B9">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3.9支持二维宽景和能量宽景，具有红、蓝、绿三种彩色框及文字提示扫描速度过快、过慢或者正常。</w:t>
      </w:r>
    </w:p>
    <w:p w14:paraId="4E8D0010">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3.10宽景成像支持该机型所有线阵探头（提供证明图片）。</w:t>
      </w:r>
    </w:p>
    <w:p w14:paraId="793DE93B">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3.11具有2种血管标记功能，一种为专业血管图谱编辑功能，可手动编辑图谱，直观显示病变的位置；一种为传统体表体位图标记（提供同一部位两种血管标记功能证明图片）。</w:t>
      </w:r>
    </w:p>
    <w:p w14:paraId="1E89584B">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（四）高级成像功能</w:t>
      </w:r>
    </w:p>
    <w:p w14:paraId="3E6676F4">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4.1.常规造影成像</w:t>
      </w:r>
    </w:p>
    <w:p w14:paraId="7E18A77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4.1.1.造影成像功能支持心脏探头、腹部探头、浅表探头。</w:t>
      </w:r>
    </w:p>
    <w:p w14:paraId="4F71C314">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4.1.2.支持实时显示组织图像和造影图像，支持造影击碎，支持斑点噪声抑制，具备混合模式，支持造影图像和组织图像位置互换。</w:t>
      </w:r>
    </w:p>
    <w:p w14:paraId="000DBAC6">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4.1.3.支持微血管造影增强功能。</w:t>
      </w:r>
    </w:p>
    <w:p w14:paraId="389C69CA">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4.1.4.支持低机械指数造影。</w:t>
      </w:r>
    </w:p>
    <w:p w14:paraId="33EBAEE2">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4.1.5.具有双计时器。</w:t>
      </w:r>
    </w:p>
    <w:p w14:paraId="295DEFC7">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4.1.6.支持向后存储≥8分钟电影。</w:t>
      </w:r>
    </w:p>
    <w:p w14:paraId="115EDB8D">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4.1.7.造影成像帧率：凸阵探头10cm深度，扫描角度45°，帧率可达30帧/秒及以上，线阵探头4cm深度，帧率可50帧/秒及以上。</w:t>
      </w:r>
    </w:p>
    <w:p w14:paraId="2590983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4.1.8.实时造影时，支持对组织灰阶图像进行标记，标记点同步映射到造影的图像上，便于观察。</w:t>
      </w:r>
    </w:p>
    <w:p w14:paraId="0BE771F3">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4.2.心血管成像</w:t>
      </w:r>
    </w:p>
    <w:p w14:paraId="6A447F89">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4.2.1.支持颈动脉血流矢量分析技术。</w:t>
      </w:r>
    </w:p>
    <w:p w14:paraId="2A87426B">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4.2.1.1.支持用具有方向的箭头来描述血管内的血流动力学特征。</w:t>
      </w:r>
    </w:p>
    <w:p w14:paraId="51A89850">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4.2.1.2.具备血流速度定量分析功能。</w:t>
      </w:r>
    </w:p>
    <w:p w14:paraId="2E22E486">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4.2.1.3.具备血管壁剪切应力的测量。</w:t>
      </w:r>
    </w:p>
    <w:p w14:paraId="7ADB64F5">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4.2.2.支持血管硬度定量分析功能，实时跟踪血管上下壁运动并显示血管壁的运动曲线，自动计算脉搏波速度以评估血管弹性。</w:t>
      </w:r>
    </w:p>
    <w:p w14:paraId="224C557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4.2.3.支持组织多普勒速度成像：具备组织速度成像、组织频谱成像、组织能量成像、组织M型成像四种模式并且在组织多普勒的同时支持解剖 M型和曲线解剖M型（附图），同步显示心肌组织节段运动同步性、运动时相对比（提供组织多普勒四种模式的证明图片）（曲线解剖M为选配）。</w:t>
      </w:r>
    </w:p>
    <w:p w14:paraId="16E9E0C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4.2.4.支持组织多普勒定量分析：支持运动追踪功能；同步显示≥8段心肌组织的运动速度，应变和应变率的曲线图。</w:t>
      </w:r>
    </w:p>
    <w:p w14:paraId="01BA76A7">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4.2.5. 支持心肌二维斑点追踪技术。</w:t>
      </w:r>
    </w:p>
    <w:p w14:paraId="258AC43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4.2.5.1.支持心肌二维斑点追踪技术，对二维室壁运动斑点图像进行分析，自动追踪心脏组织运动，无角度依赖，快速高效的评估心肌运动。具有追踪向量图和参数曲线图数据包括速度、位移、应变及应变率。</w:t>
      </w:r>
    </w:p>
    <w:p w14:paraId="495FC0C3">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4.2.5.2.支持冠脉牛眼图叠加评估，多参数定量分析。</w:t>
      </w:r>
    </w:p>
    <w:p w14:paraId="3E633A5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bookmarkStart w:id="5" w:name="_Hlk190272122"/>
      <w:r>
        <w:rPr>
          <w:rFonts w:hint="eastAsia" w:ascii="宋体" w:hAnsi="宋体" w:eastAsia="宋体" w:cs="宋体"/>
          <w:sz w:val="24"/>
          <w:szCs w:val="24"/>
          <w:lang w:val="en-US" w:eastAsia="zh-CN"/>
        </w:rPr>
        <w:t>4.2.5.3.支持无ECG条件下进行分析。</w:t>
      </w:r>
    </w:p>
    <w:bookmarkEnd w:id="5"/>
    <w:p w14:paraId="110A9DC5">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4.2.6.支持左心室造影。</w:t>
      </w:r>
    </w:p>
    <w:p w14:paraId="1243A21F">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（五）测量分析和报告</w:t>
      </w:r>
    </w:p>
    <w:p w14:paraId="569294ED">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5.1.全科测量包，自动生成报告： 腹部、妇科、产科、心脏、泌尿、小器官、儿科、血管、神经、急诊科。</w:t>
      </w:r>
    </w:p>
    <w:p w14:paraId="2D3B721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5.2.支持射血分数自动测量技术，不需要连接心电图，并具有专门按键，对冻结的心脏图像，一次按键，机器自动识别左心室的舒张末期和收缩末期，并且以左右双幅图像显示，自动得出EF、SV等测量数值。</w:t>
      </w:r>
    </w:p>
    <w:p w14:paraId="6C8493D2">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5.3.支持左房容量自动评估技术，自动识别四腔心或两腔心切面并描迹左房壁，计算左房容积大小和左房容积指数，评估左室舒张功能。</w:t>
      </w:r>
    </w:p>
    <w:p w14:paraId="680E019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5.4. 支持舒张功能自动测量技术，自动进入 PW 和 TVD 模式，定位取样容积，并自动计算舒张功能评估常用参数 E/A, E/E’，极大简化工作流，高效准确地评估心脏舒张功能。</w:t>
      </w:r>
    </w:p>
    <w:p w14:paraId="2DBC6996">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5.5 .血管内中膜自动测量技术，测量数据至少包括最大值、最小值、平均值、标准差、ROI长度、测量长度及质量指标，具有IMT分析评估曲线（提供测量数值及分析评估曲线的证明图片）。</w:t>
      </w:r>
    </w:p>
    <w:p w14:paraId="024AB6B4">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（六）电影回放、原始数据处理和检查存储管理系统</w:t>
      </w:r>
    </w:p>
    <w:p w14:paraId="180838A2">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6.1.电影回放所有模式下可用，支持手动、自动回放，支持4D 电影回放。6.2.原始数据处理，最大可进行32项参数调节（包括B模式10种、M型模式6种、彩色模式7种、PW模式9种）。</w:t>
      </w:r>
    </w:p>
    <w:p w14:paraId="677002A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6.3.内置双硬盘设计（非外接，包括固态硬盘≥120GB和机械硬盘≥1TB），两个硬盘独立运行。</w:t>
      </w:r>
    </w:p>
    <w:p w14:paraId="080092B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（七）系统技术参数及要求</w:t>
      </w:r>
    </w:p>
    <w:p w14:paraId="4DB43389">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7.1.二维灰阶模式。</w:t>
      </w:r>
    </w:p>
    <w:p w14:paraId="13C444A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7.1.1.最大显示深度:≥38cm。</w:t>
      </w:r>
    </w:p>
    <w:p w14:paraId="26AD758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.TGC: ≥8段。</w:t>
      </w:r>
    </w:p>
    <w:p w14:paraId="57599895">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7.1.3. LGC: ≥8段。</w:t>
      </w:r>
    </w:p>
    <w:p w14:paraId="31CFED9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7.2.彩色多普勒成像。</w:t>
      </w:r>
    </w:p>
    <w:p w14:paraId="67E03BB0">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7.2.1. 包括速度、速度方差、能量、方向能量显示等。</w:t>
      </w:r>
    </w:p>
    <w:p w14:paraId="552A6F1F">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7.2.2. 取样框偏转: ≥±30度（线阵探头）。</w:t>
      </w:r>
    </w:p>
    <w:p w14:paraId="050A5E05">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7.2.3. 支持B/C 同宽。</w:t>
      </w:r>
    </w:p>
    <w:p w14:paraId="4DA464AB">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 频谱多普勒模式。</w:t>
      </w:r>
    </w:p>
    <w:p w14:paraId="7E1A621F">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7.3.1 .最大速度: ≥8.60m/s（连续多普勒速度: ≥35m/s）。</w:t>
      </w:r>
    </w:p>
    <w:p w14:paraId="40F4DA44">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7.3.2 .最小速度: ≤1 mm /s（非噪声信号）。</w:t>
      </w:r>
    </w:p>
    <w:p w14:paraId="242515B6">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7.3.3. 取样容积: 0.5-30mm ，支持所有探头（提供0.5mm和30mm取样框的证明图片）。</w:t>
      </w:r>
    </w:p>
    <w:p w14:paraId="15CC9D5B">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7.3.4. 偏转角度: ≥±30度 （线阵探头）。</w:t>
      </w:r>
    </w:p>
    <w:p w14:paraId="660E35F0">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（八）连通性要求</w:t>
      </w:r>
    </w:p>
    <w:p w14:paraId="383E3BA1">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8.1.支持网络连接。</w:t>
      </w:r>
    </w:p>
    <w:p w14:paraId="0D665D98">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8.2.支持移动设备无线传输，要求将机器超声图像通过无线网络直接发送到智能移动终端平台。</w:t>
      </w:r>
    </w:p>
    <w:p w14:paraId="39411855">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8.3. 通过无线传输支持移动终端设备进行远程控制超声机器图像参数调节、远程病人信息管理: 浏览，查询，获取，删除病人信息等。</w:t>
      </w:r>
    </w:p>
    <w:p w14:paraId="5C2718A9">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（九）探头规格</w:t>
      </w:r>
    </w:p>
    <w:p w14:paraId="7E1F157E">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9.1. 探头配置：三把单晶体探头，探头频率（至少包含此范围）:</w:t>
      </w:r>
    </w:p>
    <w:p w14:paraId="57ECC6B4">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•单晶体相控阵探头：1.5-4.5MHZ；</w:t>
      </w:r>
    </w:p>
    <w:p w14:paraId="3B3093CC">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•单晶线阵探头频率：2.5-11.0 MHz；</w:t>
      </w:r>
    </w:p>
    <w:p w14:paraId="7EC9D027">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•单晶体凸阵探头频率：1.2-6.0 MHz。</w:t>
      </w:r>
    </w:p>
    <w:p w14:paraId="00108066">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（十）外设和附件及其他要求</w:t>
      </w:r>
    </w:p>
    <w:p w14:paraId="1736E476">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10.1.耦合剂加热器，支持实体按键开关，温度多级可调。</w:t>
      </w:r>
    </w:p>
    <w:p w14:paraId="063A993A">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10.2.内置DICOM 3.0 标准输出接口。</w:t>
      </w:r>
    </w:p>
    <w:p w14:paraId="162D1309">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10.3.内有一体化超声工作站。</w:t>
      </w:r>
    </w:p>
    <w:p w14:paraId="2DD09413">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10.4.系统主机内置≥1TB硬盘。</w:t>
      </w:r>
    </w:p>
    <w:p w14:paraId="4DEDE2BC">
      <w:pPr>
        <w:pStyle w:val="4"/>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p>
    <w:sectPr>
      <w:pgSz w:w="11907" w:h="16840"/>
      <w:pgMar w:top="1440" w:right="1800" w:bottom="1440" w:left="1800" w:header="680" w:footer="907" w:gutter="0"/>
      <w:pgNumType w:fmt="decimal" w:start="0"/>
      <w:cols w:space="0" w:num="1"/>
      <w:titlePg/>
      <w:rtlGutter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等线 Light">
    <w:altName w:val="微软雅黑"/>
    <w:panose1 w:val="02010600030101010101"/>
    <w:charset w:val="00"/>
    <w:family w:val="auto"/>
    <w:pitch w:val="default"/>
    <w:sig w:usb0="00000000" w:usb1="00000000"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6168F2"/>
    <w:multiLevelType w:val="singleLevel"/>
    <w:tmpl w:val="176168F2"/>
    <w:lvl w:ilvl="0" w:tentative="0">
      <w:start w:val="4"/>
      <w:numFmt w:val="decimal"/>
      <w:lvlText w:val="%1."/>
      <w:lvlJc w:val="left"/>
      <w:pPr>
        <w:tabs>
          <w:tab w:val="left" w:pos="312"/>
        </w:tabs>
      </w:pPr>
    </w:lvl>
  </w:abstractNum>
  <w:abstractNum w:abstractNumId="1">
    <w:nsid w:val="6DE718F7"/>
    <w:multiLevelType w:val="multilevel"/>
    <w:tmpl w:val="6DE718F7"/>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3NDI5MGViNzg0OWFhNDZiYTZlYTE0Mzg1NWExNDYifQ=="/>
  </w:docVars>
  <w:rsids>
    <w:rsidRoot w:val="00000000"/>
    <w:rsid w:val="0B6D28AB"/>
    <w:rsid w:val="1FB92403"/>
    <w:rsid w:val="57A73BFB"/>
    <w:rsid w:val="65A77EDD"/>
    <w:rsid w:val="764F3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tabs>
        <w:tab w:val="left" w:pos="567"/>
      </w:tabs>
      <w:spacing w:before="120" w:line="22" w:lineRule="atLeast"/>
    </w:pPr>
    <w:rPr>
      <w:rFonts w:ascii="宋体" w:hAnsi="宋体"/>
      <w:sz w:val="24"/>
    </w:rPr>
  </w:style>
  <w:style w:type="paragraph" w:customStyle="1" w:styleId="3">
    <w:name w:val="Default"/>
    <w:basedOn w:val="1"/>
    <w:qFormat/>
    <w:uiPriority w:val="0"/>
    <w:pPr>
      <w:autoSpaceDE w:val="0"/>
      <w:autoSpaceDN w:val="0"/>
      <w:jc w:val="left"/>
    </w:pPr>
    <w:rPr>
      <w:rFonts w:hint="eastAsia" w:ascii="宋体" w:hAnsi="宋体"/>
      <w:color w:val="000000"/>
      <w:kern w:val="0"/>
      <w:sz w:val="24"/>
    </w:rPr>
  </w:style>
  <w:style w:type="paragraph" w:styleId="4">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next w:val="1"/>
    <w:qFormat/>
    <w:uiPriority w:val="0"/>
    <w:pPr>
      <w:spacing w:after="60"/>
      <w:jc w:val="left"/>
      <w:outlineLvl w:val="0"/>
    </w:pPr>
    <w:rPr>
      <w:rFonts w:ascii="等线 Light" w:hAnsi="等线 Light" w:eastAsia="黑体"/>
      <w:b/>
      <w:bCs/>
      <w:sz w:val="24"/>
      <w:szCs w:val="32"/>
    </w:rPr>
  </w:style>
  <w:style w:type="paragraph" w:customStyle="1" w:styleId="8">
    <w:name w:val="段"/>
    <w:next w:val="1"/>
    <w:qFormat/>
    <w:uiPriority w:val="0"/>
    <w:pPr>
      <w:autoSpaceDE w:val="0"/>
      <w:autoSpaceDN w:val="0"/>
      <w:ind w:firstLine="200" w:firstLineChars="200"/>
      <w:jc w:val="both"/>
    </w:pPr>
    <w:rPr>
      <w:rFonts w:ascii="宋体" w:hAnsi="Calibri" w:eastAsia="宋体" w:cs="Times New Roman"/>
      <w:sz w:val="21"/>
      <w:szCs w:val="22"/>
      <w:lang w:val="en-US" w:eastAsia="zh-CN" w:bidi="ar-SA"/>
    </w:rPr>
  </w:style>
  <w:style w:type="paragraph" w:styleId="9">
    <w:name w:val="List Paragraph"/>
    <w:basedOn w:val="1"/>
    <w:qFormat/>
    <w:uiPriority w:val="1"/>
    <w:pPr>
      <w:ind w:left="925" w:hanging="577"/>
    </w:pPr>
    <w:rPr>
      <w:rFonts w:ascii="宋体" w:hAnsi="宋体" w:eastAsia="宋体" w:cs="宋体"/>
      <w:lang w:val="zh-CN" w:eastAsia="zh-CN" w:bidi="zh-CN"/>
    </w:rPr>
  </w:style>
  <w:style w:type="character" w:customStyle="1" w:styleId="10">
    <w:name w:val="font01"/>
    <w:basedOn w:val="7"/>
    <w:qFormat/>
    <w:uiPriority w:val="0"/>
    <w:rPr>
      <w:rFonts w:hint="eastAsia" w:ascii="宋体" w:hAnsi="宋体" w:eastAsia="宋体" w:cs="宋体"/>
      <w:color w:val="000000"/>
      <w:sz w:val="24"/>
      <w:szCs w:val="24"/>
      <w:u w:val="none"/>
    </w:rPr>
  </w:style>
  <w:style w:type="character" w:customStyle="1" w:styleId="11">
    <w:name w:val="font41"/>
    <w:basedOn w:val="7"/>
    <w:qFormat/>
    <w:uiPriority w:val="0"/>
    <w:rPr>
      <w:rFonts w:hint="default" w:ascii="Arial" w:hAnsi="Arial" w:cs="Arial"/>
      <w:color w:val="000000"/>
      <w:sz w:val="24"/>
      <w:szCs w:val="24"/>
      <w:u w:val="none"/>
    </w:rPr>
  </w:style>
  <w:style w:type="character" w:customStyle="1" w:styleId="12">
    <w:name w:val="font21"/>
    <w:basedOn w:val="7"/>
    <w:qFormat/>
    <w:uiPriority w:val="0"/>
    <w:rPr>
      <w:rFonts w:hint="eastAsia" w:ascii="宋体" w:hAnsi="宋体" w:eastAsia="宋体" w:cs="宋体"/>
      <w:color w:val="000000"/>
      <w:sz w:val="24"/>
      <w:szCs w:val="24"/>
      <w:u w:val="none"/>
      <w:vertAlign w:val="superscript"/>
    </w:rPr>
  </w:style>
  <w:style w:type="paragraph" w:customStyle="1" w:styleId="13">
    <w:name w:val="正文缩进2"/>
    <w:basedOn w:val="1"/>
    <w:autoRedefine/>
    <w:qFormat/>
    <w:uiPriority w:val="0"/>
    <w:pPr>
      <w:wordWrap w:val="0"/>
      <w:ind w:firstLine="480"/>
    </w:pPr>
    <w:rPr>
      <w:iCs/>
      <w:shd w:val="clear" w:color="auto" w:fill="FFFFFF" w:themeFill="background1"/>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3902</Words>
  <Characters>4696</Characters>
  <Lines>0</Lines>
  <Paragraphs>0</Paragraphs>
  <TotalTime>3</TotalTime>
  <ScaleCrop>false</ScaleCrop>
  <LinksUpToDate>false</LinksUpToDate>
  <CharactersWithSpaces>4797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2022-12-05T01:09:00Z</dcterms:created>
  <dc:creator>Administrator</dc:creator>
  <cp:lastModifiedBy>Tang</cp:lastModifiedBy>
  <dcterms:modified xsi:type="dcterms:W3CDTF">2025-12-26T02:03:45Z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B54321F07CA54B65A50EDA7B8A1D3559</vt:lpwstr>
  </property>
  <property fmtid="{D5CDD505-2E9C-101B-9397-08002B2CF9AE}" pid="4" name="KSOTemplateDocerSaveRecord">
    <vt:lpwstr>eyJoZGlkIjoiODY3NDI5MGViNzg0OWFhNDZiYTZlYTE0Mzg1NWExNDYiLCJ1c2VySWQiOiI0NTUxOTU1ODkifQ==</vt:lpwstr>
  </property>
</Properties>
</file>