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EB384D">
      <w:pPr>
        <w:pStyle w:val="2"/>
        <w:numPr>
          <w:ilvl w:val="0"/>
          <w:numId w:val="0"/>
        </w:numPr>
        <w:ind w:left="420" w:leftChars="0" w:hanging="420" w:firstLineChars="0"/>
      </w:pPr>
      <w:bookmarkStart w:id="0" w:name="OLE_LINK2"/>
      <w:bookmarkStart w:id="1" w:name="_Toc177056143"/>
      <w:bookmarkStart w:id="2" w:name="_Toc163493640"/>
      <w:r>
        <w:rPr>
          <w:rFonts w:hint="eastAsia"/>
        </w:rPr>
        <w:t>项目采购需求</w:t>
      </w:r>
      <w:bookmarkEnd w:id="0"/>
    </w:p>
    <w:p w14:paraId="35E4B30B">
      <w:pPr>
        <w:keepNext w:val="0"/>
        <w:keepLines w:val="0"/>
        <w:widowControl/>
        <w:suppressLineNumbers w:val="0"/>
        <w:jc w:val="left"/>
      </w:pPr>
      <w:bookmarkStart w:id="3" w:name="OLE_LINK20"/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/>
        </w:rPr>
        <w:t xml:space="preserve">一、项目概述 </w:t>
      </w:r>
    </w:p>
    <w:p w14:paraId="55896EA6">
      <w:pPr>
        <w:ind w:firstLine="420" w:firstLineChars="200"/>
        <w:rPr>
          <w:rFonts w:hint="eastAsia"/>
          <w:snapToGrid w:val="0"/>
          <w:lang w:val="zh-CN"/>
        </w:rPr>
      </w:pPr>
      <w:r>
        <w:rPr>
          <w:rFonts w:hint="eastAsia"/>
          <w:snapToGrid w:val="0"/>
          <w:lang w:val="zh-CN"/>
        </w:rPr>
        <w:t>根据国家卫生健康委2024年3月13日发布的《国家临床专科能力评估办法（试行）》（以下简称《办法》）【国卫办医政函〔2024〕65号】，临床专科能力评估是为了引导医疗机构加强临床专科能力建设，提升医疗服务能力和质量安全水平。《办法》明确了临床专科的定义，即以患者为中心，以疾病诊疗为链条，融合多个传统临床科室或学科，提供全流程诊疗服务的组织或平台。</w:t>
      </w:r>
    </w:p>
    <w:p w14:paraId="4AB440A4">
      <w:pPr>
        <w:ind w:firstLine="420" w:firstLineChars="200"/>
        <w:jc w:val="both"/>
        <w:rPr>
          <w:rFonts w:hint="eastAsia"/>
          <w:snapToGrid w:val="0"/>
          <w:lang w:val="zh-CN"/>
        </w:rPr>
      </w:pPr>
      <w:r>
        <w:rPr>
          <w:rFonts w:hint="eastAsia"/>
          <w:snapToGrid w:val="0"/>
          <w:lang w:val="zh-CN"/>
        </w:rPr>
        <w:t>本项目旨在通过采购临床专科能力评估咨询服务，对重大专病、系统疾病领域、平台专科三个类别，采用百分制“临床专科能力综合指数（Clinical Specialty Capacity Comprehensive Index, CSCCI）”，从医疗服务能力、技术能力（含创新能力）、质量安全和服务效率4个维度进行评估；构建临床专科评价主题库，采用科学量化的方式建立指标评估模型，对医院临床专科诊疗和科技创新综合能力进行客观评价，提升医院专科诊疗能力、医疗质量、医疗服务，改善患者就医体验，促进临床科研和医院管理创新，实现公立医院高质量发展。</w:t>
      </w:r>
    </w:p>
    <w:p w14:paraId="4A184536"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/>
        </w:rPr>
        <w:t>二、采购清单</w:t>
      </w:r>
    </w:p>
    <w:tbl>
      <w:tblPr>
        <w:tblStyle w:val="1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218"/>
        <w:gridCol w:w="1066"/>
        <w:gridCol w:w="2129"/>
        <w:gridCol w:w="2129"/>
      </w:tblGrid>
      <w:tr w14:paraId="5C37D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054" w:type="pct"/>
            <w:shd w:val="clear" w:color="auto" w:fill="auto"/>
            <w:vAlign w:val="center"/>
          </w:tcPr>
          <w:p w14:paraId="7DF91576">
            <w:pPr>
              <w:pStyle w:val="5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采购标的名称</w:t>
            </w:r>
          </w:p>
        </w:tc>
        <w:tc>
          <w:tcPr>
            <w:tcW w:w="648" w:type="pct"/>
            <w:shd w:val="clear" w:color="auto" w:fill="auto"/>
            <w:vAlign w:val="center"/>
          </w:tcPr>
          <w:p w14:paraId="0742EE7B">
            <w:pPr>
              <w:pStyle w:val="5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数量</w:t>
            </w:r>
          </w:p>
        </w:tc>
        <w:tc>
          <w:tcPr>
            <w:tcW w:w="567" w:type="pct"/>
            <w:shd w:val="clear" w:color="auto" w:fill="auto"/>
            <w:vAlign w:val="center"/>
          </w:tcPr>
          <w:p w14:paraId="216EF49E">
            <w:pPr>
              <w:pStyle w:val="5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单位</w:t>
            </w:r>
          </w:p>
        </w:tc>
        <w:tc>
          <w:tcPr>
            <w:tcW w:w="1133" w:type="pct"/>
            <w:vAlign w:val="center"/>
          </w:tcPr>
          <w:p w14:paraId="378F1F67">
            <w:pPr>
              <w:pStyle w:val="5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所属行业</w:t>
            </w:r>
          </w:p>
        </w:tc>
        <w:tc>
          <w:tcPr>
            <w:tcW w:w="1133" w:type="pct"/>
            <w:shd w:val="clear" w:color="auto" w:fill="auto"/>
            <w:vAlign w:val="center"/>
          </w:tcPr>
          <w:p w14:paraId="1C71E137">
            <w:pPr>
              <w:pStyle w:val="5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要求/备注</w:t>
            </w:r>
          </w:p>
        </w:tc>
      </w:tr>
      <w:tr w14:paraId="49127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054" w:type="pct"/>
            <w:vAlign w:val="center"/>
          </w:tcPr>
          <w:p w14:paraId="3294D4D6">
            <w:pPr>
              <w:pStyle w:val="5"/>
              <w:rPr>
                <w:rFonts w:hint="default" w:cs="仿宋_GB2312"/>
                <w:lang w:val="en-US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  <w:lang w:val="en-US" w:eastAsia="zh-CN"/>
              </w:rPr>
              <w:t>临床专科能力评估服务采购</w:t>
            </w:r>
          </w:p>
        </w:tc>
        <w:tc>
          <w:tcPr>
            <w:tcW w:w="648" w:type="pct"/>
            <w:vAlign w:val="center"/>
          </w:tcPr>
          <w:p w14:paraId="32AF92A0">
            <w:pPr>
              <w:pStyle w:val="5"/>
              <w:jc w:val="center"/>
              <w:rPr>
                <w:rFonts w:hint="eastAsia" w:eastAsia="宋体" w:cs="仿宋_GB2312"/>
                <w:lang w:eastAsia="zh-CN"/>
              </w:rPr>
            </w:pPr>
            <w:r>
              <w:rPr>
                <w:rFonts w:hint="eastAsia" w:cs="仿宋_GB2312"/>
                <w:lang w:val="en-US" w:eastAsia="zh-CN"/>
              </w:rPr>
              <w:t>1</w:t>
            </w:r>
          </w:p>
        </w:tc>
        <w:tc>
          <w:tcPr>
            <w:tcW w:w="567" w:type="pct"/>
            <w:vAlign w:val="center"/>
          </w:tcPr>
          <w:p w14:paraId="4783D037">
            <w:pPr>
              <w:pStyle w:val="5"/>
              <w:jc w:val="center"/>
              <w:rPr>
                <w:rFonts w:hint="eastAsia" w:eastAsia="宋体" w:cs="仿宋_GB2312"/>
                <w:lang w:eastAsia="zh-CN"/>
              </w:rPr>
            </w:pPr>
            <w:r>
              <w:rPr>
                <w:rFonts w:hint="eastAsia" w:cs="仿宋_GB2312"/>
                <w:lang w:val="en-US" w:eastAsia="zh-CN"/>
              </w:rPr>
              <w:t>项</w:t>
            </w:r>
          </w:p>
        </w:tc>
        <w:tc>
          <w:tcPr>
            <w:tcW w:w="1133" w:type="pct"/>
            <w:vAlign w:val="center"/>
          </w:tcPr>
          <w:p w14:paraId="6916516C">
            <w:pPr>
              <w:pStyle w:val="5"/>
              <w:rPr>
                <w:rFonts w:hint="default" w:eastAsia="宋体" w:cs="仿宋_GB2312"/>
                <w:lang w:val="en-US" w:eastAsia="zh-CN"/>
              </w:rPr>
            </w:pPr>
            <w:r>
              <w:rPr>
                <w:rFonts w:hint="eastAsia" w:cs="仿宋_GB2312"/>
                <w:lang w:val="en-US" w:eastAsia="zh-CN"/>
              </w:rPr>
              <w:t xml:space="preserve">      服务</w:t>
            </w:r>
          </w:p>
        </w:tc>
        <w:tc>
          <w:tcPr>
            <w:tcW w:w="1133" w:type="pct"/>
            <w:vAlign w:val="center"/>
          </w:tcPr>
          <w:p w14:paraId="6518E921">
            <w:pPr>
              <w:pStyle w:val="5"/>
              <w:rPr>
                <w:rFonts w:hint="default" w:eastAsia="宋体" w:cs="仿宋_GB2312"/>
                <w:lang w:val="en-US" w:eastAsia="zh-CN"/>
              </w:rPr>
            </w:pPr>
            <w:r>
              <w:rPr>
                <w:rFonts w:hint="eastAsia" w:cs="仿宋_GB2312"/>
                <w:lang w:val="en-US" w:eastAsia="zh-CN"/>
              </w:rPr>
              <w:t xml:space="preserve">  其他未列明行业</w:t>
            </w:r>
          </w:p>
        </w:tc>
      </w:tr>
    </w:tbl>
    <w:p w14:paraId="4C6925AF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zh-CN" w:eastAsia="zh-CN"/>
        </w:rPr>
      </w:pPr>
      <w:bookmarkStart w:id="4" w:name="_Toc177056132"/>
      <w:r>
        <w:rPr>
          <w:rFonts w:hint="eastAsia" w:cs="宋体"/>
          <w:b/>
          <w:bCs/>
          <w:color w:val="000000"/>
          <w:kern w:val="0"/>
          <w:sz w:val="32"/>
          <w:szCs w:val="32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zh-CN" w:eastAsia="zh-CN"/>
        </w:rPr>
        <w:t>服务内容及要求</w:t>
      </w:r>
      <w:bookmarkEnd w:id="4"/>
    </w:p>
    <w:p w14:paraId="38F3535B">
      <w:pPr>
        <w:spacing w:line="500" w:lineRule="exact"/>
        <w:rPr>
          <w:rFonts w:hint="eastAsia"/>
          <w:b/>
          <w:bCs/>
          <w:snapToGrid w:val="0"/>
          <w:lang w:val="zh-CN"/>
        </w:rPr>
      </w:pPr>
      <w:r>
        <w:rPr>
          <w:rFonts w:hint="eastAsia"/>
          <w:b/>
          <w:bCs/>
          <w:snapToGrid w:val="0"/>
          <w:lang w:val="zh-CN"/>
        </w:rPr>
        <w:t>（一）服务目标</w:t>
      </w:r>
    </w:p>
    <w:p w14:paraId="5A370C2C">
      <w:pPr>
        <w:spacing w:line="500" w:lineRule="exact"/>
        <w:ind w:firstLine="420" w:firstLineChars="200"/>
        <w:rPr>
          <w:rFonts w:hint="eastAsia"/>
          <w:snapToGrid w:val="0"/>
          <w:lang w:val="zh-CN"/>
        </w:rPr>
      </w:pPr>
      <w:r>
        <w:rPr>
          <w:rFonts w:hint="eastAsia"/>
          <w:snapToGrid w:val="0"/>
          <w:lang w:val="zh-CN"/>
        </w:rPr>
        <w:t>构建一个科学量化的指标评估模型，该模型将依托于临床专科评价主题库，对医院专科的诊疗服务和科技创新能力进行客观、全面的评估；通过评估旨在提升医院临床专科的诊疗服务能力，促进医疗服务质量的持续改进。</w:t>
      </w:r>
    </w:p>
    <w:p w14:paraId="5D759893">
      <w:pPr>
        <w:spacing w:line="500" w:lineRule="exact"/>
        <w:rPr>
          <w:rFonts w:hint="eastAsia"/>
          <w:b/>
          <w:bCs/>
          <w:snapToGrid w:val="0"/>
          <w:lang w:val="zh-CN"/>
        </w:rPr>
      </w:pPr>
      <w:r>
        <w:rPr>
          <w:rFonts w:hint="eastAsia"/>
          <w:b/>
          <w:bCs/>
          <w:snapToGrid w:val="0"/>
          <w:lang w:val="zh-CN"/>
        </w:rPr>
        <w:t>（二）评估方法</w:t>
      </w:r>
    </w:p>
    <w:p w14:paraId="32F069AE">
      <w:pPr>
        <w:spacing w:line="500" w:lineRule="exact"/>
        <w:ind w:firstLine="420" w:firstLineChars="200"/>
        <w:jc w:val="both"/>
        <w:rPr>
          <w:rFonts w:hint="eastAsia"/>
          <w:snapToGrid w:val="0"/>
          <w:lang w:val="zh-CN"/>
        </w:rPr>
      </w:pPr>
      <w:r>
        <w:rPr>
          <w:rFonts w:hint="eastAsia"/>
          <w:snapToGrid w:val="0"/>
          <w:lang w:val="zh-CN"/>
        </w:rPr>
        <w:t>1.临床数据采集：通过电子健康记录（Electronic Health Records, EHR）系统收集临床诊疗数据。</w:t>
      </w:r>
    </w:p>
    <w:p w14:paraId="6C215B5F">
      <w:pPr>
        <w:spacing w:line="500" w:lineRule="exact"/>
        <w:ind w:firstLine="420" w:firstLineChars="200"/>
        <w:jc w:val="both"/>
        <w:rPr>
          <w:rFonts w:hint="eastAsia"/>
          <w:snapToGrid w:val="0"/>
          <w:lang w:val="zh-CN"/>
        </w:rPr>
      </w:pPr>
      <w:r>
        <w:rPr>
          <w:rFonts w:hint="eastAsia"/>
          <w:snapToGrid w:val="0"/>
          <w:lang w:val="zh-CN"/>
        </w:rPr>
        <w:t>2.主题库构建：基于临床路径（Clinical Pathway）和疾病分类（International Classification of Diseases, ICD）构建临床专科评价主题库。</w:t>
      </w:r>
    </w:p>
    <w:p w14:paraId="4B633091">
      <w:pPr>
        <w:spacing w:line="500" w:lineRule="exact"/>
        <w:ind w:firstLine="420" w:firstLineChars="200"/>
        <w:jc w:val="both"/>
        <w:rPr>
          <w:rFonts w:hint="eastAsia"/>
          <w:snapToGrid w:val="0"/>
          <w:lang w:val="zh-CN"/>
        </w:rPr>
      </w:pPr>
      <w:r>
        <w:rPr>
          <w:rFonts w:hint="eastAsia"/>
          <w:snapToGrid w:val="0"/>
          <w:lang w:val="zh-CN"/>
        </w:rPr>
        <w:t>3.量化评估模型：应用数据挖掘（Data Mining）和机器学习（Machine Learning）技术，构建量化评估模型。</w:t>
      </w:r>
    </w:p>
    <w:p w14:paraId="65283E22">
      <w:pPr>
        <w:spacing w:line="500" w:lineRule="exact"/>
        <w:ind w:firstLine="420" w:firstLineChars="200"/>
        <w:jc w:val="both"/>
        <w:rPr>
          <w:rFonts w:hint="eastAsia"/>
          <w:snapToGrid w:val="0"/>
          <w:lang w:val="zh-CN"/>
        </w:rPr>
      </w:pPr>
      <w:r>
        <w:rPr>
          <w:rFonts w:hint="eastAsia"/>
          <w:snapToGrid w:val="0"/>
          <w:lang w:val="zh-CN"/>
        </w:rPr>
        <w:t>4.客观评价报告：提供基于证据的医学（Evidence-based Medicine, EBM）评价报告，包括关键绩效指标（Key Performance Indicators, KPIs）和临床结果指标（Clinical Outcome Indicators, COIs）。</w:t>
      </w:r>
    </w:p>
    <w:p w14:paraId="23177D48">
      <w:pPr>
        <w:spacing w:line="500" w:lineRule="exact"/>
        <w:rPr>
          <w:rFonts w:hint="eastAsia"/>
          <w:b/>
          <w:bCs/>
          <w:snapToGrid w:val="0"/>
          <w:lang w:val="zh-CN"/>
        </w:rPr>
      </w:pPr>
      <w:r>
        <w:rPr>
          <w:rFonts w:hint="eastAsia"/>
          <w:b/>
          <w:bCs/>
          <w:snapToGrid w:val="0"/>
          <w:lang w:val="zh-CN"/>
        </w:rPr>
        <w:t>（三）预期成果</w:t>
      </w:r>
    </w:p>
    <w:p w14:paraId="52577E6C">
      <w:pPr>
        <w:widowControl/>
        <w:spacing w:line="500" w:lineRule="exact"/>
        <w:ind w:firstLine="420" w:firstLineChars="200"/>
        <w:rPr>
          <w:rFonts w:hint="eastAsia"/>
          <w:snapToGrid w:val="0"/>
          <w:lang w:val="zh-CN"/>
        </w:rPr>
      </w:pPr>
      <w:r>
        <w:rPr>
          <w:rFonts w:hint="eastAsia"/>
          <w:snapToGrid w:val="0"/>
          <w:lang w:val="zh-CN"/>
        </w:rPr>
        <w:t>1.提高医疗机构临床专科的服务质量，包括患者满意度和临床结果。</w:t>
      </w:r>
    </w:p>
    <w:p w14:paraId="536CA38A">
      <w:pPr>
        <w:widowControl/>
        <w:spacing w:line="500" w:lineRule="exact"/>
        <w:ind w:firstLine="420" w:firstLineChars="200"/>
        <w:rPr>
          <w:rFonts w:hint="eastAsia"/>
          <w:snapToGrid w:val="0"/>
          <w:lang w:val="zh-CN"/>
        </w:rPr>
      </w:pPr>
      <w:r>
        <w:rPr>
          <w:rFonts w:hint="eastAsia"/>
          <w:snapToGrid w:val="0"/>
          <w:lang w:val="zh-CN"/>
        </w:rPr>
        <w:t>2.增强临床专科的诊疗和科研能力，通过临床试验（Clinical Trials）和转化医学（Translational Medicine）。</w:t>
      </w:r>
    </w:p>
    <w:p w14:paraId="6456CC98">
      <w:pPr>
        <w:widowControl/>
        <w:spacing w:line="500" w:lineRule="exact"/>
        <w:ind w:firstLine="420" w:firstLineChars="200"/>
        <w:rPr>
          <w:rFonts w:hint="eastAsia"/>
          <w:snapToGrid w:val="0"/>
          <w:lang w:val="zh-CN"/>
        </w:rPr>
      </w:pPr>
      <w:r>
        <w:rPr>
          <w:rFonts w:hint="eastAsia"/>
          <w:snapToGrid w:val="0"/>
          <w:lang w:val="zh-CN"/>
        </w:rPr>
        <w:t>3.促进医疗资源的合理配置和优化，实现资源利用最大化。</w:t>
      </w:r>
    </w:p>
    <w:p w14:paraId="0D647AAE"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/>
        </w:rPr>
        <w:t>四、报价要求</w:t>
      </w:r>
    </w:p>
    <w:p w14:paraId="4AA737E1">
      <w:pPr>
        <w:keepNext w:val="0"/>
        <w:keepLines w:val="0"/>
        <w:widowControl/>
        <w:suppressLineNumbers w:val="0"/>
        <w:ind w:firstLine="48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1、预算金额：200万元。最高限价：190万元。 </w:t>
      </w:r>
    </w:p>
    <w:p w14:paraId="0993D1E5">
      <w:pPr>
        <w:keepNext w:val="0"/>
        <w:keepLines w:val="0"/>
        <w:widowControl/>
        <w:suppressLineNumbers w:val="0"/>
        <w:ind w:firstLine="48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2、报价货币：以人民币报价</w:t>
      </w:r>
    </w:p>
    <w:p w14:paraId="31C103CF">
      <w:pPr>
        <w:keepNext w:val="0"/>
        <w:keepLines w:val="0"/>
        <w:widowControl/>
        <w:suppressLineNumbers w:val="0"/>
        <w:ind w:firstLine="48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本项目报价为包干价格、包含所有的服务费、人工费、交通费、差旅费、风险费、税费和政策性规定应计取的合法取费等各项费用。对于本磋商文件未列明，而供应商认为必需的费用也需列入磋商总报价。在合同实施时，采购人将不予支付成交供应商没有列入的项目费用，并认为此项目的费用已包括在磋商总报价中。</w:t>
      </w:r>
    </w:p>
    <w:p w14:paraId="3F8F80E7">
      <w:pPr>
        <w:keepNext w:val="0"/>
        <w:keepLines w:val="0"/>
        <w:widowControl/>
        <w:suppressLineNumbers w:val="0"/>
        <w:ind w:firstLine="48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4、付款方式：按合同约定执行</w:t>
      </w:r>
    </w:p>
    <w:bookmarkEnd w:id="3"/>
    <w:p w14:paraId="0790E518">
      <w:pPr>
        <w:pStyle w:val="2"/>
        <w:numPr>
          <w:ilvl w:val="0"/>
          <w:numId w:val="0"/>
        </w:numPr>
        <w:ind w:leftChars="0"/>
        <w:jc w:val="both"/>
        <w:rPr>
          <w:rFonts w:hint="eastAsia"/>
        </w:rPr>
      </w:pPr>
      <w:r>
        <w:rPr>
          <w:rFonts w:hint="eastAsia"/>
        </w:rPr>
        <w:t>评分标准</w:t>
      </w:r>
      <w:bookmarkEnd w:id="1"/>
      <w:bookmarkEnd w:id="2"/>
    </w:p>
    <w:tbl>
      <w:tblPr>
        <w:tblStyle w:val="16"/>
        <w:tblW w:w="92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45" w:type="dxa"/>
          <w:left w:w="96" w:type="dxa"/>
          <w:bottom w:w="45" w:type="dxa"/>
          <w:right w:w="96" w:type="dxa"/>
        </w:tblCellMar>
      </w:tblPr>
      <w:tblGrid>
        <w:gridCol w:w="2035"/>
        <w:gridCol w:w="1816"/>
        <w:gridCol w:w="831"/>
        <w:gridCol w:w="4598"/>
      </w:tblGrid>
      <w:tr w14:paraId="09264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2035" w:type="dxa"/>
            <w:shd w:val="clear" w:color="auto" w:fill="D8D8D8"/>
            <w:noWrap w:val="0"/>
            <w:vAlign w:val="center"/>
          </w:tcPr>
          <w:p w14:paraId="7F63E025">
            <w:pPr>
              <w:snapToGrid w:val="0"/>
              <w:spacing w:line="276" w:lineRule="auto"/>
              <w:jc w:val="center"/>
              <w:rPr>
                <w:rFonts w:hint="eastAsia" w:ascii="宋体" w:eastAsia="宋体"/>
                <w:b/>
                <w:i w:val="0"/>
                <w:iCs w:val="0"/>
                <w:sz w:val="24"/>
                <w:lang w:eastAsia="zh-CN"/>
              </w:rPr>
            </w:pPr>
            <w:r>
              <w:rPr>
                <w:rFonts w:hint="eastAsia" w:ascii="宋体" w:eastAsia="宋体"/>
                <w:b/>
                <w:i w:val="0"/>
                <w:iCs w:val="0"/>
                <w:sz w:val="24"/>
                <w:lang w:eastAsia="zh-CN"/>
              </w:rPr>
              <w:t>评审项目</w:t>
            </w:r>
          </w:p>
        </w:tc>
        <w:tc>
          <w:tcPr>
            <w:tcW w:w="1816" w:type="dxa"/>
            <w:shd w:val="clear" w:color="auto" w:fill="D8D8D8"/>
            <w:noWrap w:val="0"/>
            <w:vAlign w:val="center"/>
          </w:tcPr>
          <w:p w14:paraId="46EBC463">
            <w:pPr>
              <w:snapToGrid w:val="0"/>
              <w:spacing w:line="276" w:lineRule="auto"/>
              <w:jc w:val="center"/>
              <w:rPr>
                <w:rFonts w:hint="eastAsia" w:ascii="宋体" w:eastAsia="宋体"/>
                <w:b/>
                <w:i w:val="0"/>
                <w:iCs w:val="0"/>
                <w:sz w:val="24"/>
                <w:lang w:eastAsia="zh-CN"/>
              </w:rPr>
            </w:pPr>
            <w:r>
              <w:rPr>
                <w:rFonts w:hint="eastAsia" w:ascii="宋体" w:eastAsia="宋体"/>
                <w:b/>
                <w:i w:val="0"/>
                <w:iCs w:val="0"/>
                <w:sz w:val="24"/>
                <w:lang w:eastAsia="zh-CN"/>
              </w:rPr>
              <w:t>评审分项</w:t>
            </w:r>
          </w:p>
        </w:tc>
        <w:tc>
          <w:tcPr>
            <w:tcW w:w="831" w:type="dxa"/>
            <w:shd w:val="clear" w:color="auto" w:fill="D8D8D8"/>
            <w:noWrap w:val="0"/>
            <w:vAlign w:val="center"/>
          </w:tcPr>
          <w:p w14:paraId="26577C23">
            <w:pPr>
              <w:snapToGrid w:val="0"/>
              <w:spacing w:line="276" w:lineRule="auto"/>
              <w:jc w:val="center"/>
              <w:rPr>
                <w:rFonts w:hint="eastAsia" w:ascii="宋体" w:eastAsia="宋体"/>
                <w:b/>
                <w:i w:val="0"/>
                <w:iCs w:val="0"/>
                <w:sz w:val="24"/>
                <w:lang w:eastAsia="zh-CN"/>
              </w:rPr>
            </w:pPr>
            <w:r>
              <w:rPr>
                <w:rFonts w:hint="eastAsia" w:ascii="宋体" w:eastAsia="宋体"/>
                <w:b/>
                <w:i w:val="0"/>
                <w:iCs w:val="0"/>
                <w:sz w:val="24"/>
                <w:lang w:eastAsia="zh-CN"/>
              </w:rPr>
              <w:t>分值</w:t>
            </w:r>
          </w:p>
        </w:tc>
        <w:tc>
          <w:tcPr>
            <w:tcW w:w="4598" w:type="dxa"/>
            <w:shd w:val="clear" w:color="auto" w:fill="D8D8D8"/>
            <w:noWrap w:val="0"/>
            <w:vAlign w:val="center"/>
          </w:tcPr>
          <w:p w14:paraId="609C71DB">
            <w:pPr>
              <w:snapToGrid w:val="0"/>
              <w:spacing w:line="276" w:lineRule="auto"/>
              <w:jc w:val="center"/>
              <w:rPr>
                <w:rFonts w:hint="eastAsia" w:ascii="宋体" w:eastAsia="宋体"/>
                <w:b/>
                <w:i w:val="0"/>
                <w:iCs w:val="0"/>
                <w:sz w:val="24"/>
                <w:lang w:eastAsia="zh-CN"/>
              </w:rPr>
            </w:pPr>
            <w:r>
              <w:rPr>
                <w:rFonts w:hint="eastAsia" w:ascii="宋体" w:eastAsia="宋体"/>
                <w:b/>
                <w:i w:val="0"/>
                <w:iCs w:val="0"/>
                <w:sz w:val="24"/>
                <w:lang w:eastAsia="zh-CN"/>
              </w:rPr>
              <w:t>子项目及分值</w:t>
            </w:r>
          </w:p>
        </w:tc>
      </w:tr>
      <w:tr w14:paraId="6459E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2035" w:type="dxa"/>
            <w:noWrap w:val="0"/>
            <w:vAlign w:val="center"/>
          </w:tcPr>
          <w:p w14:paraId="41A0195B">
            <w:pPr>
              <w:snapToGrid w:val="0"/>
              <w:spacing w:line="276" w:lineRule="auto"/>
              <w:jc w:val="center"/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  <w:t>价格部分</w:t>
            </w:r>
          </w:p>
          <w:p w14:paraId="0D5BD1AD">
            <w:pPr>
              <w:snapToGrid w:val="0"/>
              <w:spacing w:line="276" w:lineRule="auto"/>
              <w:jc w:val="center"/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  <w:t>（</w:t>
            </w: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  <w:lang w:val="en-US" w:eastAsia="zh-CN"/>
              </w:rPr>
              <w:t>30</w:t>
            </w: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  <w:t>分）</w:t>
            </w:r>
          </w:p>
        </w:tc>
        <w:tc>
          <w:tcPr>
            <w:tcW w:w="1816" w:type="dxa"/>
            <w:tcBorders>
              <w:bottom w:val="single" w:color="auto" w:sz="4" w:space="0"/>
            </w:tcBorders>
            <w:noWrap w:val="0"/>
            <w:vAlign w:val="center"/>
          </w:tcPr>
          <w:p w14:paraId="5A5C5468">
            <w:pPr>
              <w:snapToGrid w:val="0"/>
              <w:spacing w:line="276" w:lineRule="auto"/>
              <w:jc w:val="center"/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  <w:t>磋商价格</w:t>
            </w:r>
          </w:p>
        </w:tc>
        <w:tc>
          <w:tcPr>
            <w:tcW w:w="831" w:type="dxa"/>
            <w:noWrap w:val="0"/>
            <w:vAlign w:val="center"/>
          </w:tcPr>
          <w:p w14:paraId="582AB055">
            <w:pPr>
              <w:snapToGrid w:val="0"/>
              <w:spacing w:line="276" w:lineRule="auto"/>
              <w:jc w:val="center"/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  <w:lang w:val="en-US" w:eastAsia="zh-CN"/>
              </w:rPr>
              <w:t>30</w:t>
            </w: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  <w:t>分</w:t>
            </w:r>
          </w:p>
        </w:tc>
        <w:tc>
          <w:tcPr>
            <w:tcW w:w="4598" w:type="dxa"/>
            <w:noWrap w:val="0"/>
            <w:vAlign w:val="center"/>
          </w:tcPr>
          <w:p w14:paraId="5EB7DB08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  <w:t>满足竞争性磋商文件要求且报价最低的报价为评审基准价，其价格分为满分。其他供应商的价格分统一按照下列公式计算：</w:t>
            </w:r>
          </w:p>
          <w:p w14:paraId="5A71CF96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  <w:t>报价得分=（评审基准价／报价)×价格权值×100</w:t>
            </w:r>
          </w:p>
          <w:p w14:paraId="6FA53A1C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  <w:t>价格权值=</w:t>
            </w: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  <w:lang w:val="en-US" w:eastAsia="zh-CN"/>
              </w:rPr>
              <w:t>30</w:t>
            </w: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  <w:t>%</w:t>
            </w:r>
          </w:p>
          <w:p w14:paraId="373D99DA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  <w:t>备注：符合供应商须知中价格扣除规定的，在评审时予以价格扣除，用扣除后的价格参与评审。</w:t>
            </w:r>
          </w:p>
        </w:tc>
      </w:tr>
      <w:tr w14:paraId="09974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2035" w:type="dxa"/>
            <w:vMerge w:val="restart"/>
            <w:noWrap w:val="0"/>
            <w:vAlign w:val="center"/>
          </w:tcPr>
          <w:p w14:paraId="09D596B2">
            <w:pPr>
              <w:snapToGrid w:val="0"/>
              <w:spacing w:line="276" w:lineRule="auto"/>
              <w:jc w:val="both"/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  <w:t>商务部分（</w:t>
            </w: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  <w:lang w:val="en-US" w:eastAsia="zh-CN"/>
              </w:rPr>
              <w:t>1</w:t>
            </w: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  <w:t>0分）</w:t>
            </w:r>
          </w:p>
        </w:tc>
        <w:tc>
          <w:tcPr>
            <w:tcW w:w="1816" w:type="dxa"/>
            <w:tcBorders>
              <w:top w:val="single" w:color="auto" w:sz="4" w:space="0"/>
            </w:tcBorders>
            <w:noWrap w:val="0"/>
            <w:vAlign w:val="center"/>
          </w:tcPr>
          <w:p w14:paraId="36915215">
            <w:pPr>
              <w:snapToGrid w:val="0"/>
              <w:spacing w:line="276" w:lineRule="auto"/>
              <w:jc w:val="center"/>
              <w:rPr>
                <w:rFonts w:hint="eastAsia" w:ascii="宋体" w:eastAsia="宋体" w:cs="Times New Roman"/>
                <w:i w:val="0"/>
                <w:iCs w:val="0"/>
                <w:sz w:val="24"/>
                <w:highlight w:val="none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  <w:t>类似业绩</w:t>
            </w:r>
          </w:p>
        </w:tc>
        <w:tc>
          <w:tcPr>
            <w:tcW w:w="831" w:type="dxa"/>
            <w:noWrap w:val="0"/>
            <w:vAlign w:val="center"/>
          </w:tcPr>
          <w:p w14:paraId="4F10D25B">
            <w:pPr>
              <w:snapToGrid w:val="0"/>
              <w:spacing w:line="276" w:lineRule="auto"/>
              <w:jc w:val="center"/>
              <w:rPr>
                <w:rFonts w:hint="default" w:ascii="宋体" w:eastAsia="宋体"/>
                <w:i w:val="0"/>
                <w:iCs w:val="0"/>
                <w:sz w:val="24"/>
                <w:highlight w:val="none"/>
                <w:lang w:val="en-US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  <w:lang w:val="en-US" w:eastAsia="zh-CN"/>
              </w:rPr>
              <w:t>6分</w:t>
            </w:r>
          </w:p>
        </w:tc>
        <w:tc>
          <w:tcPr>
            <w:tcW w:w="4598" w:type="dxa"/>
            <w:noWrap w:val="0"/>
            <w:vAlign w:val="center"/>
          </w:tcPr>
          <w:p w14:paraId="47B435CF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  <w:highlight w:val="none"/>
                <w:lang w:val="zh-CN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  <w:lang w:val="zh-CN"/>
              </w:rPr>
              <w:t>供应商自2020年</w:t>
            </w:r>
            <w:r>
              <w:rPr>
                <w:rFonts w:hint="eastAsia"/>
                <w:i w:val="0"/>
                <w:iCs w:val="0"/>
                <w:sz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  <w:lang w:val="zh-CN"/>
              </w:rPr>
              <w:t>月1日（以合同签订时间为准）至今的类似项目成功案例，每提供一个得</w:t>
            </w:r>
            <w:r>
              <w:rPr>
                <w:rFonts w:hint="default" w:ascii="宋体" w:eastAsia="宋体"/>
                <w:i w:val="0"/>
                <w:iCs w:val="0"/>
                <w:sz w:val="24"/>
                <w:highlight w:val="none"/>
                <w:lang w:val="en-US"/>
              </w:rPr>
              <w:t xml:space="preserve"> </w:t>
            </w: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  <w:lang w:val="zh-CN"/>
              </w:rPr>
              <w:t>分；</w:t>
            </w: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  <w:lang w:val="en-US" w:eastAsia="zh-CN"/>
              </w:rPr>
              <w:t>未提供不得分，以合同内容</w:t>
            </w:r>
            <w:r>
              <w:rPr>
                <w:rFonts w:hint="eastAsia"/>
                <w:i w:val="0"/>
                <w:iCs w:val="0"/>
                <w:sz w:val="24"/>
                <w:highlight w:val="none"/>
                <w:lang w:val="en-US" w:eastAsia="zh-CN"/>
              </w:rPr>
              <w:t>与本项目内容相匹配，</w:t>
            </w: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  <w:lang w:val="en-US" w:eastAsia="zh-CN"/>
              </w:rPr>
              <w:t>判断并允许等效证明</w:t>
            </w:r>
            <w:r>
              <w:rPr>
                <w:rFonts w:hint="eastAsia"/>
                <w:i w:val="0"/>
                <w:iCs w:val="0"/>
                <w:sz w:val="24"/>
                <w:highlight w:val="none"/>
                <w:lang w:val="en-US" w:eastAsia="zh-CN"/>
              </w:rPr>
              <w:t>，满分</w:t>
            </w:r>
            <w:r>
              <w:rPr>
                <w:rFonts w:hint="default" w:ascii="宋体" w:eastAsia="宋体"/>
                <w:i w:val="0"/>
                <w:iCs w:val="0"/>
                <w:sz w:val="24"/>
                <w:highlight w:val="none"/>
                <w:lang w:val="en-US"/>
              </w:rPr>
              <w:t xml:space="preserve"> </w:t>
            </w: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  <w:lang w:val="en-US" w:eastAsia="zh-CN"/>
              </w:rPr>
              <w:t>6</w:t>
            </w: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  <w:lang w:val="zh-CN"/>
              </w:rPr>
              <w:t>分。</w:t>
            </w:r>
          </w:p>
          <w:p w14:paraId="36C336F5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  <w:highlight w:val="none"/>
                <w:lang w:val="zh-CN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  <w:lang w:val="zh-CN"/>
              </w:rPr>
              <w:t>备注：</w:t>
            </w: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  <w:lang w:val="en-US" w:eastAsia="zh-CN"/>
              </w:rPr>
              <w:t>须提供对应合同复印件加盖公章作为证明材料。</w:t>
            </w:r>
          </w:p>
        </w:tc>
      </w:tr>
      <w:tr w14:paraId="1AC76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2035" w:type="dxa"/>
            <w:vMerge w:val="continue"/>
            <w:noWrap w:val="0"/>
            <w:vAlign w:val="center"/>
          </w:tcPr>
          <w:p w14:paraId="1F4DE173">
            <w:pPr>
              <w:snapToGrid w:val="0"/>
              <w:spacing w:line="276" w:lineRule="auto"/>
              <w:jc w:val="center"/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</w:pPr>
          </w:p>
        </w:tc>
        <w:tc>
          <w:tcPr>
            <w:tcW w:w="1816" w:type="dxa"/>
            <w:tcBorders>
              <w:top w:val="single" w:color="auto" w:sz="4" w:space="0"/>
            </w:tcBorders>
            <w:noWrap w:val="0"/>
            <w:vAlign w:val="center"/>
          </w:tcPr>
          <w:p w14:paraId="33339057">
            <w:pPr>
              <w:snapToGrid w:val="0"/>
              <w:spacing w:line="276" w:lineRule="auto"/>
              <w:jc w:val="center"/>
              <w:rPr>
                <w:rFonts w:hint="eastAsia"/>
                <w:i w:val="0"/>
                <w:i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i w:val="0"/>
                <w:iCs w:val="0"/>
                <w:sz w:val="24"/>
                <w:highlight w:val="none"/>
                <w:lang w:val="en-US" w:eastAsia="zh-CN"/>
              </w:rPr>
              <w:t>拟投入本</w:t>
            </w:r>
          </w:p>
          <w:p w14:paraId="534509C2">
            <w:pPr>
              <w:snapToGrid w:val="0"/>
              <w:spacing w:line="276" w:lineRule="auto"/>
              <w:jc w:val="center"/>
              <w:rPr>
                <w:rFonts w:hint="default" w:ascii="宋体" w:eastAsia="宋体"/>
                <w:i w:val="0"/>
                <w:i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i w:val="0"/>
                <w:iCs w:val="0"/>
                <w:sz w:val="24"/>
                <w:highlight w:val="none"/>
                <w:lang w:val="en-US" w:eastAsia="zh-CN"/>
              </w:rPr>
              <w:t>项目人员</w:t>
            </w:r>
          </w:p>
        </w:tc>
        <w:tc>
          <w:tcPr>
            <w:tcW w:w="831" w:type="dxa"/>
            <w:noWrap w:val="0"/>
            <w:vAlign w:val="center"/>
          </w:tcPr>
          <w:p w14:paraId="0773A86D">
            <w:pPr>
              <w:snapToGrid w:val="0"/>
              <w:spacing w:line="276" w:lineRule="auto"/>
              <w:jc w:val="center"/>
              <w:rPr>
                <w:rFonts w:hint="default" w:ascii="宋体" w:eastAsia="宋体"/>
                <w:i w:val="0"/>
                <w:i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  <w:lang w:val="en-US" w:eastAsia="zh-CN"/>
              </w:rPr>
              <w:t>4分</w:t>
            </w:r>
          </w:p>
        </w:tc>
        <w:tc>
          <w:tcPr>
            <w:tcW w:w="4598" w:type="dxa"/>
            <w:noWrap w:val="0"/>
            <w:vAlign w:val="center"/>
          </w:tcPr>
          <w:p w14:paraId="016DF0AE">
            <w:pPr>
              <w:numPr>
                <w:ilvl w:val="0"/>
                <w:numId w:val="0"/>
              </w:numPr>
              <w:snapToGrid w:val="0"/>
              <w:spacing w:line="276" w:lineRule="auto"/>
              <w:jc w:val="left"/>
              <w:rPr>
                <w:rFonts w:hint="default"/>
                <w:i w:val="0"/>
                <w:i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i w:val="0"/>
                <w:iCs w:val="0"/>
                <w:sz w:val="24"/>
                <w:highlight w:val="none"/>
                <w:lang w:val="en-US" w:eastAsia="zh-CN"/>
              </w:rPr>
              <w:t>拟派本项目负责人具备卫生专业技术人员资格；</w:t>
            </w: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  <w:lang w:val="en-US"/>
              </w:rPr>
              <w:t>具备正高级职称（主任或者教授职称）的得2 分，副高级职称（副主任职称）的得 1 分，其余不得分</w:t>
            </w:r>
            <w:r>
              <w:rPr>
                <w:rFonts w:hint="eastAsia"/>
                <w:i w:val="0"/>
                <w:iCs w:val="0"/>
                <w:sz w:val="24"/>
                <w:highlight w:val="none"/>
                <w:lang w:val="en-US" w:eastAsia="zh-CN"/>
              </w:rPr>
              <w:t>，满分4分</w:t>
            </w: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  <w:lang w:val="en-US"/>
              </w:rPr>
              <w:t>。</w:t>
            </w:r>
          </w:p>
          <w:p w14:paraId="18016FFA">
            <w:pPr>
              <w:numPr>
                <w:ilvl w:val="0"/>
                <w:numId w:val="0"/>
              </w:numPr>
              <w:snapToGrid w:val="0"/>
              <w:spacing w:line="276" w:lineRule="auto"/>
              <w:jc w:val="left"/>
              <w:rPr>
                <w:rFonts w:hint="default" w:ascii="宋体" w:eastAsia="宋体"/>
                <w:i w:val="0"/>
                <w:i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  <w:lang w:val="en-US"/>
              </w:rPr>
              <w:t>（以上内容需提供</w:t>
            </w:r>
            <w:r>
              <w:rPr>
                <w:rFonts w:hint="eastAsia"/>
                <w:i w:val="0"/>
                <w:iCs w:val="0"/>
                <w:sz w:val="24"/>
                <w:highlight w:val="none"/>
                <w:lang w:val="en-US" w:eastAsia="zh-CN"/>
              </w:rPr>
              <w:t>拟派本</w:t>
            </w: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  <w:lang w:val="en-US"/>
              </w:rPr>
              <w:t>项目人员的职称证书或相关证明材料）</w:t>
            </w:r>
            <w:r>
              <w:rPr>
                <w:rFonts w:hint="eastAsia" w:ascii="仿宋" w:hAnsi="仿宋" w:eastAsia="仿宋"/>
                <w:sz w:val="21"/>
                <w:szCs w:val="21"/>
                <w:highlight w:val="none"/>
              </w:rPr>
              <w:t xml:space="preserve"> </w:t>
            </w:r>
          </w:p>
        </w:tc>
      </w:tr>
      <w:tr w14:paraId="043A9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1812" w:hRule="atLeast"/>
          <w:jc w:val="center"/>
        </w:trPr>
        <w:tc>
          <w:tcPr>
            <w:tcW w:w="2035" w:type="dxa"/>
            <w:vMerge w:val="restart"/>
            <w:noWrap w:val="0"/>
            <w:vAlign w:val="center"/>
          </w:tcPr>
          <w:p w14:paraId="64D7EE81">
            <w:pPr>
              <w:snapToGrid w:val="0"/>
              <w:spacing w:line="276" w:lineRule="auto"/>
              <w:jc w:val="center"/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  <w:t>技术服务部分</w:t>
            </w:r>
          </w:p>
          <w:p w14:paraId="32DFE3D8">
            <w:pPr>
              <w:snapToGrid w:val="0"/>
              <w:spacing w:line="276" w:lineRule="auto"/>
              <w:jc w:val="center"/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  <w:t>（</w:t>
            </w: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  <w:lang w:val="en-US" w:eastAsia="zh-CN"/>
              </w:rPr>
              <w:t>60</w:t>
            </w: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  <w:t>分）</w:t>
            </w:r>
          </w:p>
        </w:tc>
        <w:tc>
          <w:tcPr>
            <w:tcW w:w="1816" w:type="dxa"/>
            <w:tcBorders>
              <w:top w:val="single" w:color="auto" w:sz="4" w:space="0"/>
            </w:tcBorders>
            <w:noWrap w:val="0"/>
            <w:vAlign w:val="center"/>
          </w:tcPr>
          <w:p w14:paraId="39F07E34">
            <w:pPr>
              <w:snapToGrid w:val="0"/>
              <w:spacing w:line="276" w:lineRule="auto"/>
              <w:jc w:val="center"/>
              <w:rPr>
                <w:rFonts w:hint="default" w:ascii="宋体" w:eastAsia="宋体"/>
                <w:i w:val="0"/>
                <w:i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  <w:lang w:val="en-US" w:eastAsia="zh-CN"/>
              </w:rPr>
              <w:t>通用技术能力</w:t>
            </w:r>
          </w:p>
        </w:tc>
        <w:tc>
          <w:tcPr>
            <w:tcW w:w="831" w:type="dxa"/>
            <w:noWrap w:val="0"/>
            <w:vAlign w:val="center"/>
          </w:tcPr>
          <w:p w14:paraId="7E281688">
            <w:pPr>
              <w:snapToGrid w:val="0"/>
              <w:spacing w:line="276" w:lineRule="auto"/>
              <w:jc w:val="center"/>
              <w:rPr>
                <w:rFonts w:hint="default" w:ascii="宋体" w:eastAsia="宋体"/>
                <w:i w:val="0"/>
                <w:i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  <w:lang w:val="en-US" w:eastAsia="zh-CN"/>
              </w:rPr>
              <w:t>5分</w:t>
            </w:r>
          </w:p>
        </w:tc>
        <w:tc>
          <w:tcPr>
            <w:tcW w:w="4598" w:type="dxa"/>
            <w:noWrap w:val="0"/>
            <w:vAlign w:val="center"/>
          </w:tcPr>
          <w:p w14:paraId="197D2F59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  <w:t>供应商</w:t>
            </w: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  <w:lang w:val="en-US" w:eastAsia="zh-CN"/>
              </w:rPr>
              <w:t>应</w:t>
            </w: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  <w:t>具备软件研发的技术能力</w:t>
            </w: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  <w:lang w:eastAsia="zh-CN"/>
              </w:rPr>
              <w:t>：</w:t>
            </w:r>
          </w:p>
          <w:p w14:paraId="00242B88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  <w:t>软件著作权/登记证书：投标人提供与</w:t>
            </w:r>
            <w:r>
              <w:rPr>
                <w:rFonts w:hint="eastAsia"/>
                <w:i w:val="0"/>
                <w:iCs w:val="0"/>
                <w:sz w:val="24"/>
                <w:highlight w:val="none"/>
                <w:lang w:val="en-US" w:eastAsia="zh-CN"/>
              </w:rPr>
              <w:t>本项目</w:t>
            </w: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  <w:t>或</w:t>
            </w:r>
            <w:r>
              <w:rPr>
                <w:rFonts w:hint="eastAsia"/>
                <w:i w:val="0"/>
                <w:iCs w:val="0"/>
                <w:sz w:val="24"/>
                <w:highlight w:val="none"/>
                <w:lang w:val="en-US" w:eastAsia="zh-CN"/>
              </w:rPr>
              <w:t>医院登记评审</w:t>
            </w: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  <w:t>指标统计直接相关的软件著作权或登记证书，每项记1分，</w:t>
            </w:r>
            <w:r>
              <w:rPr>
                <w:rFonts w:hint="eastAsia"/>
                <w:i w:val="0"/>
                <w:iCs w:val="0"/>
                <w:sz w:val="24"/>
                <w:highlight w:val="none"/>
                <w:lang w:val="en-US" w:eastAsia="zh-CN"/>
              </w:rPr>
              <w:t>满分5</w:t>
            </w: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  <w:t>分。</w:t>
            </w:r>
          </w:p>
        </w:tc>
      </w:tr>
      <w:tr w14:paraId="5DB42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2035" w:type="dxa"/>
            <w:vMerge w:val="continue"/>
            <w:noWrap w:val="0"/>
            <w:vAlign w:val="center"/>
          </w:tcPr>
          <w:p w14:paraId="2FFB1703">
            <w:pPr>
              <w:snapToGrid w:val="0"/>
              <w:spacing w:line="276" w:lineRule="auto"/>
              <w:jc w:val="center"/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</w:pPr>
          </w:p>
        </w:tc>
        <w:tc>
          <w:tcPr>
            <w:tcW w:w="1816" w:type="dxa"/>
            <w:tcBorders>
              <w:top w:val="single" w:color="auto" w:sz="4" w:space="0"/>
            </w:tcBorders>
            <w:noWrap w:val="0"/>
            <w:vAlign w:val="center"/>
          </w:tcPr>
          <w:p w14:paraId="22E61586">
            <w:pPr>
              <w:snapToGrid w:val="0"/>
              <w:spacing w:line="276" w:lineRule="auto"/>
              <w:jc w:val="center"/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  <w:t>项目需求理解</w:t>
            </w:r>
          </w:p>
        </w:tc>
        <w:tc>
          <w:tcPr>
            <w:tcW w:w="831" w:type="dxa"/>
            <w:noWrap w:val="0"/>
            <w:vAlign w:val="center"/>
          </w:tcPr>
          <w:p w14:paraId="0682C3C9">
            <w:pPr>
              <w:snapToGrid w:val="0"/>
              <w:spacing w:line="276" w:lineRule="auto"/>
              <w:jc w:val="center"/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  <w:t>10分</w:t>
            </w:r>
          </w:p>
        </w:tc>
        <w:tc>
          <w:tcPr>
            <w:tcW w:w="4598" w:type="dxa"/>
            <w:noWrap w:val="0"/>
            <w:vAlign w:val="center"/>
          </w:tcPr>
          <w:p w14:paraId="472EB769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  <w:lang w:val="en-US" w:eastAsia="zh-CN"/>
              </w:rPr>
              <w:t>供应商</w:t>
            </w:r>
            <w:r>
              <w:rPr>
                <w:rFonts w:hint="eastAsia"/>
                <w:i w:val="0"/>
                <w:iCs w:val="0"/>
                <w:sz w:val="24"/>
                <w:highlight w:val="none"/>
                <w:lang w:val="en-US" w:eastAsia="zh-CN"/>
              </w:rPr>
              <w:t>对项目背景分析</w:t>
            </w: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  <w:t>（如政策背景、行业现状、医院需求、风险点、信息化趋势），</w:t>
            </w:r>
            <w:r>
              <w:rPr>
                <w:rFonts w:hint="eastAsia"/>
                <w:i w:val="0"/>
                <w:iCs w:val="0"/>
                <w:sz w:val="24"/>
                <w:highlight w:val="none"/>
                <w:lang w:val="en-US" w:eastAsia="zh-CN"/>
              </w:rPr>
              <w:t>10分：</w:t>
            </w: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  <w:t>能提供对项目背景的全面分析，包含不少于 5项具体分析维度并提出与本项目相关的总体服务理念。</w:t>
            </w:r>
          </w:p>
          <w:p w14:paraId="49B73739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  <w:t>8分：能提供对项目背景的较深入分析，包含不少于 3项具体分析维度，并提出总体服务理念。</w:t>
            </w:r>
          </w:p>
          <w:p w14:paraId="540CA13F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  <w:t>5分：能提供对项目背景的一般性分析，包含 1–2项分析维度。</w:t>
            </w:r>
          </w:p>
          <w:p w14:paraId="3EE702F7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  <w:t>2分：仅对项目背景作简单描述，缺乏与服务理念的对应说明。</w:t>
            </w:r>
          </w:p>
          <w:p w14:paraId="585AAEE4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  <w:t>0分：未提供相关内容。</w:t>
            </w:r>
          </w:p>
        </w:tc>
      </w:tr>
      <w:tr w14:paraId="5EE8D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3224" w:hRule="atLeast"/>
          <w:jc w:val="center"/>
        </w:trPr>
        <w:tc>
          <w:tcPr>
            <w:tcW w:w="2035" w:type="dxa"/>
            <w:vMerge w:val="continue"/>
            <w:noWrap w:val="0"/>
            <w:vAlign w:val="center"/>
          </w:tcPr>
          <w:p w14:paraId="22D3C704">
            <w:pPr>
              <w:snapToGrid w:val="0"/>
              <w:spacing w:line="276" w:lineRule="auto"/>
              <w:jc w:val="center"/>
              <w:rPr>
                <w:rFonts w:hint="eastAsia" w:ascii="宋体" w:eastAsia="宋体"/>
                <w:i w:val="0"/>
                <w:iCs w:val="0"/>
                <w:sz w:val="24"/>
              </w:rPr>
            </w:pPr>
          </w:p>
        </w:tc>
        <w:tc>
          <w:tcPr>
            <w:tcW w:w="1816" w:type="dxa"/>
            <w:tcBorders>
              <w:top w:val="single" w:color="auto" w:sz="4" w:space="0"/>
            </w:tcBorders>
            <w:noWrap w:val="0"/>
            <w:vAlign w:val="center"/>
          </w:tcPr>
          <w:p w14:paraId="44B574E3">
            <w:pPr>
              <w:snapToGrid w:val="0"/>
              <w:spacing w:line="276" w:lineRule="auto"/>
              <w:jc w:val="center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  <w:highlight w:val="none"/>
              </w:rPr>
              <w:t>数据分析评价指标</w:t>
            </w:r>
          </w:p>
        </w:tc>
        <w:tc>
          <w:tcPr>
            <w:tcW w:w="831" w:type="dxa"/>
            <w:noWrap w:val="0"/>
            <w:vAlign w:val="center"/>
          </w:tcPr>
          <w:p w14:paraId="07CB4F8C">
            <w:pPr>
              <w:snapToGrid w:val="0"/>
              <w:spacing w:line="276" w:lineRule="auto"/>
              <w:jc w:val="center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</w:rPr>
              <w:t>10分</w:t>
            </w:r>
          </w:p>
        </w:tc>
        <w:tc>
          <w:tcPr>
            <w:tcW w:w="4598" w:type="dxa"/>
            <w:noWrap w:val="0"/>
            <w:vAlign w:val="center"/>
          </w:tcPr>
          <w:p w14:paraId="3F3CE222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  <w:lang w:val="en-US" w:eastAsia="zh-CN"/>
              </w:rPr>
              <w:t>供应商</w:t>
            </w:r>
            <w:r>
              <w:rPr>
                <w:rFonts w:hint="eastAsia" w:ascii="宋体" w:eastAsia="宋体"/>
                <w:i w:val="0"/>
                <w:iCs w:val="0"/>
                <w:sz w:val="24"/>
              </w:rPr>
              <w:t>提供数据分析与评价指标（如</w:t>
            </w:r>
            <w:r>
              <w:rPr>
                <w:rFonts w:hint="eastAsia" w:ascii="宋体" w:eastAsia="宋体"/>
                <w:i w:val="0"/>
                <w:iCs w:val="0"/>
                <w:sz w:val="24"/>
                <w:lang w:val="en-US" w:eastAsia="zh-CN"/>
              </w:rPr>
              <w:t>重点专业质控指标</w:t>
            </w:r>
            <w:r>
              <w:rPr>
                <w:rFonts w:hint="eastAsia" w:ascii="宋体" w:eastAsia="宋体"/>
                <w:i w:val="0"/>
                <w:iCs w:val="0"/>
                <w:sz w:val="24"/>
              </w:rPr>
              <w:t>、</w:t>
            </w:r>
            <w:r>
              <w:rPr>
                <w:rFonts w:hint="eastAsia" w:ascii="宋体" w:eastAsia="宋体"/>
                <w:i w:val="0"/>
                <w:iCs w:val="0"/>
                <w:sz w:val="24"/>
                <w:lang w:val="en-US" w:eastAsia="zh-CN"/>
              </w:rPr>
              <w:t>人力资源配置指标</w:t>
            </w:r>
            <w:r>
              <w:rPr>
                <w:rFonts w:hint="eastAsia" w:ascii="宋体" w:eastAsia="宋体"/>
                <w:i w:val="0"/>
                <w:iCs w:val="0"/>
                <w:sz w:val="24"/>
              </w:rPr>
              <w:t>、</w:t>
            </w:r>
            <w:r>
              <w:rPr>
                <w:rFonts w:hint="eastAsia" w:ascii="宋体" w:eastAsia="宋体"/>
                <w:i w:val="0"/>
                <w:iCs w:val="0"/>
                <w:sz w:val="24"/>
                <w:lang w:val="en-US" w:eastAsia="zh-CN"/>
              </w:rPr>
              <w:t>医疗质量与安全指标</w:t>
            </w:r>
            <w:r>
              <w:rPr>
                <w:rFonts w:hint="eastAsia" w:ascii="宋体" w:eastAsia="宋体"/>
                <w:i w:val="0"/>
                <w:iCs w:val="0"/>
                <w:sz w:val="24"/>
              </w:rPr>
              <w:t>、</w:t>
            </w:r>
            <w:r>
              <w:rPr>
                <w:rFonts w:hint="eastAsia" w:ascii="宋体" w:eastAsia="宋体"/>
                <w:i w:val="0"/>
                <w:iCs w:val="0"/>
                <w:sz w:val="24"/>
                <w:lang w:val="en-US" w:eastAsia="zh-CN"/>
              </w:rPr>
              <w:t>科研与教学</w:t>
            </w:r>
            <w:r>
              <w:rPr>
                <w:rFonts w:hint="eastAsia" w:ascii="宋体" w:eastAsia="宋体"/>
                <w:i w:val="0"/>
                <w:iCs w:val="0"/>
                <w:sz w:val="24"/>
              </w:rPr>
              <w:t>、</w:t>
            </w:r>
            <w:r>
              <w:rPr>
                <w:rFonts w:hint="eastAsia" w:ascii="宋体" w:eastAsia="宋体"/>
                <w:i w:val="0"/>
                <w:iCs w:val="0"/>
                <w:sz w:val="24"/>
                <w:lang w:val="en-US" w:eastAsia="zh-CN"/>
              </w:rPr>
              <w:t>运</w:t>
            </w:r>
            <w:r>
              <w:rPr>
                <w:rFonts w:hint="eastAsia"/>
                <w:i w:val="0"/>
                <w:iCs w:val="0"/>
                <w:sz w:val="24"/>
                <w:lang w:val="en-US" w:eastAsia="zh-CN"/>
              </w:rPr>
              <w:t>行</w:t>
            </w:r>
            <w:r>
              <w:rPr>
                <w:rFonts w:hint="eastAsia" w:ascii="宋体" w:eastAsia="宋体"/>
                <w:i w:val="0"/>
                <w:iCs w:val="0"/>
                <w:sz w:val="24"/>
                <w:lang w:val="en-US" w:eastAsia="zh-CN"/>
              </w:rPr>
              <w:t>效率</w:t>
            </w:r>
            <w:r>
              <w:rPr>
                <w:rFonts w:hint="eastAsia" w:ascii="宋体" w:eastAsia="宋体"/>
                <w:i w:val="0"/>
                <w:iCs w:val="0"/>
                <w:sz w:val="24"/>
              </w:rPr>
              <w:t>等），并结合项目场景进行说明。</w:t>
            </w:r>
          </w:p>
          <w:p w14:paraId="3BA8F3D6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  <w:lang w:val="en-US" w:eastAsia="zh-CN"/>
              </w:rPr>
            </w:pPr>
            <w:r>
              <w:rPr>
                <w:rFonts w:hint="eastAsia"/>
                <w:i w:val="0"/>
                <w:iCs w:val="0"/>
                <w:sz w:val="24"/>
                <w:lang w:val="en-US" w:eastAsia="zh-CN"/>
              </w:rPr>
              <w:t>10分：</w:t>
            </w:r>
            <w:r>
              <w:rPr>
                <w:rFonts w:hint="eastAsia" w:ascii="宋体" w:eastAsia="宋体"/>
                <w:i w:val="0"/>
                <w:iCs w:val="0"/>
                <w:sz w:val="24"/>
              </w:rPr>
              <w:t>提供不少于5项明确的数据分析与评价指标</w:t>
            </w:r>
            <w:r>
              <w:rPr>
                <w:rFonts w:hint="eastAsia"/>
                <w:i w:val="0"/>
                <w:iCs w:val="0"/>
                <w:sz w:val="24"/>
                <w:lang w:eastAsia="zh-CN"/>
              </w:rPr>
              <w:t>。</w:t>
            </w:r>
          </w:p>
          <w:p w14:paraId="57425D9F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</w:rPr>
              <w:t>8分：提供 3–</w:t>
            </w:r>
            <w:r>
              <w:rPr>
                <w:rFonts w:hint="eastAsia"/>
                <w:i w:val="0"/>
                <w:iCs w:val="0"/>
                <w:sz w:val="24"/>
                <w:lang w:val="en-US" w:eastAsia="zh-CN"/>
              </w:rPr>
              <w:t>5</w:t>
            </w:r>
            <w:r>
              <w:rPr>
                <w:rFonts w:hint="eastAsia" w:ascii="宋体" w:eastAsia="宋体"/>
                <w:i w:val="0"/>
                <w:iCs w:val="0"/>
                <w:sz w:val="24"/>
              </w:rPr>
              <w:t>项 明确的评价指标。</w:t>
            </w:r>
          </w:p>
          <w:p w14:paraId="12558009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</w:rPr>
              <w:t>5分：提供 1–2项 明确的评价指标。</w:t>
            </w:r>
          </w:p>
          <w:p w14:paraId="076C6130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</w:rPr>
              <w:t>2分：仅笼统提出“科学合理”或“基本可行”等表述，无量化指标。</w:t>
            </w:r>
          </w:p>
          <w:p w14:paraId="0529B954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</w:rPr>
              <w:t>0分：未提供相关内容。</w:t>
            </w:r>
          </w:p>
        </w:tc>
      </w:tr>
      <w:tr w14:paraId="2071C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4422" w:hRule="atLeast"/>
          <w:jc w:val="center"/>
        </w:trPr>
        <w:tc>
          <w:tcPr>
            <w:tcW w:w="2035" w:type="dxa"/>
            <w:vMerge w:val="continue"/>
            <w:noWrap w:val="0"/>
            <w:vAlign w:val="center"/>
          </w:tcPr>
          <w:p w14:paraId="444B174D">
            <w:pPr>
              <w:snapToGrid w:val="0"/>
              <w:spacing w:line="276" w:lineRule="auto"/>
              <w:jc w:val="center"/>
              <w:rPr>
                <w:rFonts w:hint="eastAsia" w:ascii="宋体" w:eastAsia="宋体"/>
                <w:i w:val="0"/>
                <w:iCs w:val="0"/>
                <w:sz w:val="24"/>
              </w:rPr>
            </w:pPr>
          </w:p>
        </w:tc>
        <w:tc>
          <w:tcPr>
            <w:tcW w:w="1816" w:type="dxa"/>
            <w:tcBorders>
              <w:top w:val="single" w:color="auto" w:sz="4" w:space="0"/>
            </w:tcBorders>
            <w:noWrap w:val="0"/>
            <w:vAlign w:val="center"/>
          </w:tcPr>
          <w:p w14:paraId="7906A14A">
            <w:pPr>
              <w:snapToGrid w:val="0"/>
              <w:spacing w:line="276" w:lineRule="auto"/>
              <w:jc w:val="center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</w:rPr>
              <w:t>项目实施方案</w:t>
            </w:r>
          </w:p>
        </w:tc>
        <w:tc>
          <w:tcPr>
            <w:tcW w:w="831" w:type="dxa"/>
            <w:noWrap w:val="0"/>
            <w:vAlign w:val="center"/>
          </w:tcPr>
          <w:p w14:paraId="314ABD72">
            <w:pPr>
              <w:snapToGrid w:val="0"/>
              <w:spacing w:line="276" w:lineRule="auto"/>
              <w:jc w:val="center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</w:rPr>
              <w:t>10分</w:t>
            </w:r>
          </w:p>
        </w:tc>
        <w:tc>
          <w:tcPr>
            <w:tcW w:w="4598" w:type="dxa"/>
            <w:noWrap w:val="0"/>
            <w:vAlign w:val="center"/>
          </w:tcPr>
          <w:p w14:paraId="6B516048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</w:rPr>
              <w:t>供应商针对本项目的提供的总体实施方案进行综合评分:</w:t>
            </w:r>
          </w:p>
          <w:p w14:paraId="43517131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</w:rPr>
              <w:t>10分：实施方案完整，包含进度安排、人员配置、技术路线、风险控制 等 4项以上 内容，并明确每项的实施节点和考核指标。</w:t>
            </w:r>
          </w:p>
          <w:p w14:paraId="4D42F329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</w:rPr>
              <w:t>8分：实施方案较完整，包含其中 3项内容。</w:t>
            </w:r>
          </w:p>
          <w:p w14:paraId="545C2459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</w:rPr>
              <w:t>5分：实施方案基本可行，包含其中 2项内容。</w:t>
            </w:r>
          </w:p>
          <w:p w14:paraId="12ADC286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</w:rPr>
              <w:t>2分：实施方案不完整，仅涉及 1项内容。</w:t>
            </w:r>
          </w:p>
          <w:p w14:paraId="66CBDA03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</w:rPr>
              <w:t>0分：未提供相关内容。</w:t>
            </w:r>
          </w:p>
        </w:tc>
      </w:tr>
      <w:tr w14:paraId="50720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3676" w:hRule="atLeast"/>
          <w:jc w:val="center"/>
        </w:trPr>
        <w:tc>
          <w:tcPr>
            <w:tcW w:w="2035" w:type="dxa"/>
            <w:vMerge w:val="continue"/>
            <w:noWrap w:val="0"/>
            <w:vAlign w:val="center"/>
          </w:tcPr>
          <w:p w14:paraId="74D6C850">
            <w:pPr>
              <w:snapToGrid w:val="0"/>
              <w:spacing w:line="276" w:lineRule="auto"/>
              <w:jc w:val="center"/>
              <w:rPr>
                <w:rFonts w:hint="eastAsia" w:ascii="宋体" w:eastAsia="宋体"/>
                <w:i w:val="0"/>
                <w:iCs w:val="0"/>
                <w:sz w:val="24"/>
              </w:rPr>
            </w:pPr>
          </w:p>
        </w:tc>
        <w:tc>
          <w:tcPr>
            <w:tcW w:w="1816" w:type="dxa"/>
            <w:noWrap w:val="0"/>
            <w:vAlign w:val="center"/>
          </w:tcPr>
          <w:p w14:paraId="5B5DC0CD">
            <w:pPr>
              <w:widowControl/>
              <w:snapToGrid w:val="0"/>
              <w:spacing w:line="276" w:lineRule="auto"/>
              <w:jc w:val="center"/>
              <w:rPr>
                <w:rFonts w:hint="eastAsia" w:ascii="宋体" w:eastAsia="宋体" w:cs="宋体"/>
                <w:i w:val="0"/>
                <w:iCs w:val="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i w:val="0"/>
                <w:iCs w:val="0"/>
                <w:kern w:val="0"/>
                <w:sz w:val="24"/>
                <w:szCs w:val="24"/>
              </w:rPr>
              <w:t>信息资料及保密管理机制</w:t>
            </w:r>
          </w:p>
        </w:tc>
        <w:tc>
          <w:tcPr>
            <w:tcW w:w="831" w:type="dxa"/>
            <w:noWrap w:val="0"/>
            <w:vAlign w:val="center"/>
          </w:tcPr>
          <w:p w14:paraId="66E75B37">
            <w:pPr>
              <w:snapToGrid w:val="0"/>
              <w:spacing w:line="276" w:lineRule="auto"/>
              <w:jc w:val="center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</w:rPr>
              <w:t>10分</w:t>
            </w:r>
          </w:p>
        </w:tc>
        <w:tc>
          <w:tcPr>
            <w:tcW w:w="4598" w:type="dxa"/>
            <w:noWrap w:val="0"/>
            <w:vAlign w:val="center"/>
          </w:tcPr>
          <w:p w14:paraId="50DDEBFC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  <w:lang w:val="en-US" w:eastAsia="zh-CN"/>
              </w:rPr>
              <w:t>供应商</w:t>
            </w:r>
            <w:r>
              <w:rPr>
                <w:rFonts w:hint="eastAsia" w:ascii="宋体" w:eastAsia="宋体"/>
                <w:i w:val="0"/>
                <w:iCs w:val="0"/>
                <w:sz w:val="24"/>
              </w:rPr>
              <w:t>针对本项目制定信息资料的管理，落实安全保密管理机制，进行综合评分：</w:t>
            </w:r>
          </w:p>
          <w:p w14:paraId="4AC9A882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</w:rPr>
              <w:t>10分：提供完整的资料管理与保密机制，至少包含资料分类、权限控制、传输加密、留痕审计等4项具体措施。</w:t>
            </w:r>
          </w:p>
          <w:p w14:paraId="7AB43ABF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</w:rPr>
              <w:t>8分：提供其中3项措施。</w:t>
            </w:r>
          </w:p>
          <w:p w14:paraId="539BCEE1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</w:rPr>
              <w:t>5分：提供其中2项措施。</w:t>
            </w:r>
          </w:p>
          <w:p w14:paraId="6D5F03A1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</w:rPr>
              <w:t>2分：仅提出原则性要求，缺乏具体措施。</w:t>
            </w:r>
          </w:p>
          <w:p w14:paraId="4C003B56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</w:rPr>
              <w:t>0分：未提供相关内容。</w:t>
            </w:r>
          </w:p>
        </w:tc>
      </w:tr>
      <w:tr w14:paraId="34DE3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2035" w:type="dxa"/>
            <w:vMerge w:val="continue"/>
            <w:noWrap w:val="0"/>
            <w:vAlign w:val="center"/>
          </w:tcPr>
          <w:p w14:paraId="0EBAAC2D">
            <w:pPr>
              <w:snapToGrid w:val="0"/>
              <w:spacing w:line="276" w:lineRule="auto"/>
              <w:jc w:val="center"/>
              <w:rPr>
                <w:rFonts w:hint="eastAsia" w:ascii="宋体" w:eastAsia="宋体"/>
                <w:i w:val="0"/>
                <w:iCs w:val="0"/>
                <w:sz w:val="24"/>
              </w:rPr>
            </w:pPr>
          </w:p>
        </w:tc>
        <w:tc>
          <w:tcPr>
            <w:tcW w:w="1816" w:type="dxa"/>
            <w:noWrap w:val="0"/>
            <w:vAlign w:val="center"/>
          </w:tcPr>
          <w:p w14:paraId="38A05AC7">
            <w:pPr>
              <w:widowControl/>
              <w:snapToGrid w:val="0"/>
              <w:spacing w:line="276" w:lineRule="auto"/>
              <w:jc w:val="center"/>
              <w:rPr>
                <w:rFonts w:hint="eastAsia" w:ascii="宋体" w:eastAsia="宋体" w:cs="宋体"/>
                <w:i w:val="0"/>
                <w:iCs w:val="0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i w:val="0"/>
                <w:iCs w:val="0"/>
                <w:kern w:val="0"/>
                <w:sz w:val="24"/>
                <w:szCs w:val="24"/>
              </w:rPr>
              <w:t>服务质量保证措施</w:t>
            </w:r>
          </w:p>
        </w:tc>
        <w:tc>
          <w:tcPr>
            <w:tcW w:w="831" w:type="dxa"/>
            <w:noWrap w:val="0"/>
            <w:vAlign w:val="center"/>
          </w:tcPr>
          <w:p w14:paraId="4AC094A3">
            <w:pPr>
              <w:snapToGrid w:val="0"/>
              <w:spacing w:line="276" w:lineRule="auto"/>
              <w:jc w:val="center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</w:rPr>
              <w:t>10分</w:t>
            </w:r>
          </w:p>
        </w:tc>
        <w:tc>
          <w:tcPr>
            <w:tcW w:w="4598" w:type="dxa"/>
            <w:noWrap w:val="0"/>
            <w:vAlign w:val="center"/>
          </w:tcPr>
          <w:p w14:paraId="2BA25834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  <w:lang w:val="en-US" w:eastAsia="zh-CN"/>
              </w:rPr>
              <w:t>供应商</w:t>
            </w:r>
            <w:r>
              <w:rPr>
                <w:rFonts w:hint="eastAsia" w:ascii="宋体" w:eastAsia="宋体"/>
                <w:i w:val="0"/>
                <w:iCs w:val="0"/>
                <w:sz w:val="24"/>
              </w:rPr>
              <w:t>提供服务质量保证措施，进行</w:t>
            </w:r>
            <w:r>
              <w:rPr>
                <w:rFonts w:hint="eastAsia" w:ascii="宋体" w:eastAsia="宋体"/>
                <w:i w:val="0"/>
                <w:iCs w:val="0"/>
                <w:sz w:val="24"/>
                <w:lang w:val="en-US" w:eastAsia="zh-CN"/>
              </w:rPr>
              <w:t>综合</w:t>
            </w:r>
            <w:r>
              <w:rPr>
                <w:rFonts w:hint="eastAsia" w:ascii="宋体" w:eastAsia="宋体"/>
                <w:i w:val="0"/>
                <w:iCs w:val="0"/>
                <w:sz w:val="24"/>
              </w:rPr>
              <w:t>评分:</w:t>
            </w:r>
          </w:p>
          <w:p w14:paraId="0F74CED2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</w:rPr>
              <w:t>10分：提供完整的质量保证体系，至少包含服务响应时限、问题处理流程、人员培训、效果考核等4项以上措施，并明确量化标准（如响应时间≤2小时、处理完成时间≤24小时）。</w:t>
            </w:r>
          </w:p>
          <w:p w14:paraId="6823AD82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</w:rPr>
              <w:t>8分：提供其中3项措施，并包含部分量化标准。</w:t>
            </w:r>
          </w:p>
          <w:p w14:paraId="2BD0AE03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</w:rPr>
              <w:t>5分：提供其中 2项措施，缺乏量化标准。</w:t>
            </w:r>
          </w:p>
          <w:p w14:paraId="7038FFA7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</w:rPr>
              <w:t>2分：仅提出原则性表述，无量化标准。</w:t>
            </w:r>
          </w:p>
          <w:p w14:paraId="3D7CE4B2">
            <w:pPr>
              <w:snapToGrid w:val="0"/>
              <w:spacing w:line="276" w:lineRule="auto"/>
              <w:jc w:val="left"/>
              <w:rPr>
                <w:rFonts w:hint="eastAsia" w:ascii="宋体" w:eastAsia="宋体" w:cs="宋体"/>
                <w:i w:val="0"/>
                <w:iCs w:val="0"/>
                <w:sz w:val="24"/>
                <w:szCs w:val="20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</w:rPr>
              <w:t>0分：未提供相关内容。</w:t>
            </w:r>
          </w:p>
        </w:tc>
      </w:tr>
      <w:tr w14:paraId="7815B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2035" w:type="dxa"/>
            <w:vMerge w:val="continue"/>
            <w:noWrap w:val="0"/>
            <w:vAlign w:val="center"/>
          </w:tcPr>
          <w:p w14:paraId="0E6A5E2F">
            <w:pPr>
              <w:snapToGrid w:val="0"/>
              <w:spacing w:line="276" w:lineRule="auto"/>
              <w:jc w:val="center"/>
              <w:rPr>
                <w:rFonts w:hint="eastAsia" w:ascii="宋体" w:eastAsia="宋体"/>
                <w:i w:val="0"/>
                <w:iCs w:val="0"/>
                <w:sz w:val="24"/>
              </w:rPr>
            </w:pPr>
          </w:p>
        </w:tc>
        <w:tc>
          <w:tcPr>
            <w:tcW w:w="1816" w:type="dxa"/>
            <w:noWrap w:val="0"/>
            <w:vAlign w:val="center"/>
          </w:tcPr>
          <w:p w14:paraId="44795625">
            <w:pPr>
              <w:snapToGrid w:val="0"/>
              <w:spacing w:line="276" w:lineRule="auto"/>
              <w:jc w:val="center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</w:rPr>
              <w:t>项目进度</w:t>
            </w:r>
          </w:p>
          <w:p w14:paraId="6991635E">
            <w:pPr>
              <w:snapToGrid w:val="0"/>
              <w:spacing w:line="276" w:lineRule="auto"/>
              <w:jc w:val="center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</w:rPr>
              <w:t>计划</w:t>
            </w:r>
          </w:p>
        </w:tc>
        <w:tc>
          <w:tcPr>
            <w:tcW w:w="831" w:type="dxa"/>
            <w:noWrap w:val="0"/>
            <w:vAlign w:val="center"/>
          </w:tcPr>
          <w:p w14:paraId="2F73FFEE">
            <w:pPr>
              <w:snapToGrid w:val="0"/>
              <w:spacing w:line="276" w:lineRule="auto"/>
              <w:jc w:val="center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  <w:lang w:val="en-US" w:eastAsia="zh-CN"/>
              </w:rPr>
              <w:t>5</w:t>
            </w:r>
            <w:r>
              <w:rPr>
                <w:rFonts w:hint="eastAsia" w:ascii="宋体" w:eastAsia="宋体"/>
                <w:i w:val="0"/>
                <w:iCs w:val="0"/>
                <w:sz w:val="24"/>
              </w:rPr>
              <w:t>分</w:t>
            </w:r>
          </w:p>
        </w:tc>
        <w:tc>
          <w:tcPr>
            <w:tcW w:w="4598" w:type="dxa"/>
            <w:noWrap w:val="0"/>
            <w:vAlign w:val="center"/>
          </w:tcPr>
          <w:p w14:paraId="03AD905C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  <w:lang w:val="en-US" w:eastAsia="zh-CN"/>
              </w:rPr>
              <w:t>供应商</w:t>
            </w:r>
            <w:r>
              <w:rPr>
                <w:rFonts w:hint="eastAsia" w:ascii="宋体" w:eastAsia="宋体"/>
                <w:i w:val="0"/>
                <w:iCs w:val="0"/>
                <w:sz w:val="24"/>
              </w:rPr>
              <w:t>根据本项目的特点，拟定项目进度计划</w:t>
            </w:r>
            <w:r>
              <w:rPr>
                <w:rFonts w:hint="eastAsia" w:ascii="宋体" w:eastAsia="宋体"/>
                <w:i w:val="0"/>
                <w:iCs w:val="0"/>
                <w:sz w:val="24"/>
                <w:lang w:eastAsia="zh-CN"/>
              </w:rPr>
              <w:t>，</w:t>
            </w:r>
            <w:r>
              <w:rPr>
                <w:rFonts w:hint="eastAsia" w:ascii="宋体" w:eastAsia="宋体"/>
                <w:i w:val="0"/>
                <w:iCs w:val="0"/>
                <w:sz w:val="24"/>
                <w:lang w:val="en-US" w:eastAsia="zh-CN"/>
              </w:rPr>
              <w:t>并进行综合评分</w:t>
            </w:r>
            <w:r>
              <w:rPr>
                <w:rFonts w:hint="eastAsia" w:ascii="宋体" w:eastAsia="宋体"/>
                <w:i w:val="0"/>
                <w:iCs w:val="0"/>
                <w:sz w:val="24"/>
              </w:rPr>
              <w:t>:</w:t>
            </w:r>
          </w:p>
          <w:p w14:paraId="56CA6712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</w:rPr>
              <w:t>5分：进度计划清晰、节点完整、资源配置合理、时间安排充分，且包含关键里程碑及对应验收/考核指标。</w:t>
            </w:r>
          </w:p>
          <w:p w14:paraId="4F10E90E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</w:rPr>
              <w:t>3分：进度计划较为完整，包含主要阶段与节点，但部分资源/时间安排或考核指标不够细化。</w:t>
            </w:r>
          </w:p>
          <w:p w14:paraId="4C994AAF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</w:rPr>
              <w:t>1分：进度计划基本可行，但缺乏关键里程碑或具体考核指标，或时间安排显得宽松/不具体。</w:t>
            </w:r>
          </w:p>
          <w:p w14:paraId="1911B84B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i w:val="0"/>
                <w:iCs w:val="0"/>
                <w:sz w:val="24"/>
              </w:rPr>
              <w:t>0分：未提交进度计划或计划严重不切实际。</w:t>
            </w:r>
          </w:p>
        </w:tc>
      </w:tr>
      <w:tr w14:paraId="3A847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3851" w:type="dxa"/>
            <w:gridSpan w:val="2"/>
            <w:noWrap w:val="0"/>
            <w:vAlign w:val="center"/>
          </w:tcPr>
          <w:p w14:paraId="6D9A27FE">
            <w:pPr>
              <w:snapToGrid w:val="0"/>
              <w:spacing w:line="276" w:lineRule="auto"/>
              <w:jc w:val="center"/>
              <w:rPr>
                <w:rFonts w:hint="eastAsia" w:ascii="宋体" w:eastAsia="宋体"/>
                <w:b/>
                <w:i w:val="0"/>
                <w:iCs w:val="0"/>
                <w:sz w:val="24"/>
              </w:rPr>
            </w:pPr>
            <w:r>
              <w:rPr>
                <w:rFonts w:hint="eastAsia" w:ascii="宋体" w:eastAsia="宋体"/>
                <w:b/>
                <w:i w:val="0"/>
                <w:iCs w:val="0"/>
                <w:sz w:val="24"/>
              </w:rPr>
              <w:t>合计</w:t>
            </w:r>
          </w:p>
        </w:tc>
        <w:tc>
          <w:tcPr>
            <w:tcW w:w="831" w:type="dxa"/>
            <w:tcBorders>
              <w:bottom w:val="single" w:color="auto" w:sz="4" w:space="0"/>
            </w:tcBorders>
            <w:noWrap w:val="0"/>
            <w:vAlign w:val="center"/>
          </w:tcPr>
          <w:p w14:paraId="47B4F2E0">
            <w:pPr>
              <w:snapToGrid w:val="0"/>
              <w:spacing w:line="276" w:lineRule="auto"/>
              <w:jc w:val="center"/>
              <w:rPr>
                <w:rFonts w:hint="eastAsia" w:ascii="宋体" w:eastAsia="宋体"/>
                <w:b/>
                <w:i w:val="0"/>
                <w:iCs w:val="0"/>
                <w:sz w:val="24"/>
                <w:lang w:val="en-US" w:eastAsia="zh-CN"/>
              </w:rPr>
            </w:pPr>
            <w:r>
              <w:rPr>
                <w:rFonts w:hint="eastAsia" w:ascii="宋体" w:eastAsia="宋体"/>
                <w:b/>
                <w:i w:val="0"/>
                <w:iCs w:val="0"/>
                <w:sz w:val="24"/>
              </w:rPr>
              <w:fldChar w:fldCharType="begin"/>
            </w:r>
            <w:r>
              <w:rPr>
                <w:rFonts w:hint="eastAsia" w:ascii="宋体" w:eastAsia="宋体"/>
                <w:b/>
                <w:i w:val="0"/>
                <w:iCs w:val="0"/>
                <w:sz w:val="24"/>
              </w:rPr>
              <w:instrText xml:space="preserve"> =SUM(ABOVE) </w:instrText>
            </w:r>
            <w:r>
              <w:rPr>
                <w:rFonts w:hint="eastAsia" w:ascii="宋体" w:eastAsia="宋体"/>
                <w:b/>
                <w:i w:val="0"/>
                <w:iCs w:val="0"/>
                <w:sz w:val="24"/>
              </w:rPr>
              <w:fldChar w:fldCharType="separate"/>
            </w:r>
            <w:r>
              <w:rPr>
                <w:rFonts w:hint="eastAsia" w:ascii="宋体" w:eastAsia="宋体"/>
                <w:b/>
                <w:i w:val="0"/>
                <w:iCs w:val="0"/>
                <w:sz w:val="24"/>
              </w:rPr>
              <w:t>100</w:t>
            </w:r>
            <w:r>
              <w:rPr>
                <w:rFonts w:hint="eastAsia" w:ascii="宋体" w:eastAsia="宋体"/>
                <w:b/>
                <w:i w:val="0"/>
                <w:iCs w:val="0"/>
                <w:sz w:val="24"/>
              </w:rPr>
              <w:fldChar w:fldCharType="end"/>
            </w:r>
            <w:r>
              <w:rPr>
                <w:rFonts w:hint="eastAsia" w:ascii="宋体" w:eastAsia="宋体"/>
                <w:b/>
                <w:i w:val="0"/>
                <w:iCs w:val="0"/>
                <w:sz w:val="24"/>
                <w:lang w:val="en-US" w:eastAsia="zh-CN"/>
              </w:rPr>
              <w:t>分</w:t>
            </w:r>
          </w:p>
        </w:tc>
        <w:tc>
          <w:tcPr>
            <w:tcW w:w="4598" w:type="dxa"/>
            <w:tcBorders>
              <w:bottom w:val="single" w:color="auto" w:sz="4" w:space="0"/>
            </w:tcBorders>
            <w:noWrap w:val="0"/>
            <w:vAlign w:val="center"/>
          </w:tcPr>
          <w:p w14:paraId="4B84E3E8">
            <w:pPr>
              <w:snapToGrid w:val="0"/>
              <w:spacing w:line="276" w:lineRule="auto"/>
              <w:jc w:val="left"/>
              <w:rPr>
                <w:rFonts w:hint="eastAsia" w:ascii="宋体" w:eastAsia="宋体"/>
                <w:b/>
                <w:i w:val="0"/>
                <w:iCs w:val="0"/>
                <w:sz w:val="24"/>
              </w:rPr>
            </w:pPr>
          </w:p>
        </w:tc>
      </w:tr>
    </w:tbl>
    <w:p w14:paraId="5351C3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cs="仿宋_GB2312"/>
          <w:sz w:val="24"/>
          <w:lang w:val="en-US" w:eastAsia="zh-CN"/>
        </w:rPr>
      </w:pPr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Sans">
    <w:altName w:val="宋体"/>
    <w:panose1 w:val="00000500000000000000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A390FB"/>
    <w:multiLevelType w:val="multilevel"/>
    <w:tmpl w:val="2BA390FB"/>
    <w:lvl w:ilvl="0" w:tentative="0">
      <w:start w:val="1"/>
      <w:numFmt w:val="chineseCounting"/>
      <w:suff w:val="nothing"/>
      <w:lvlText w:val="第%1章 "/>
      <w:lvlJc w:val="left"/>
      <w:pPr>
        <w:ind w:left="432" w:hanging="432"/>
      </w:pPr>
      <w:rPr>
        <w:rFonts w:hint="eastAsia" w:ascii="黑体" w:hAnsi="黑体" w:eastAsia="黑体" w:cs="黑体"/>
        <w:b/>
        <w:bCs/>
      </w:rPr>
    </w:lvl>
    <w:lvl w:ilvl="1" w:tentative="0">
      <w:start w:val="1"/>
      <w:numFmt w:val="decimal"/>
      <w:pStyle w:val="3"/>
      <w:isLgl/>
      <w:lvlText w:val="%1.%2."/>
      <w:lvlJc w:val="left"/>
      <w:pPr>
        <w:ind w:left="575" w:hanging="575"/>
      </w:pPr>
      <w:rPr>
        <w:rFonts w:hint="eastAsia"/>
        <w:b/>
        <w:bCs/>
      </w:rPr>
    </w:lvl>
    <w:lvl w:ilvl="2" w:tentative="0">
      <w:start w:val="1"/>
      <w:numFmt w:val="decimal"/>
      <w:isLgl/>
      <w:lvlText w:val="%1.%2.%3."/>
      <w:lvlJc w:val="left"/>
      <w:pPr>
        <w:ind w:left="720" w:hanging="720"/>
      </w:pPr>
      <w:rPr>
        <w:rFonts w:hint="eastAsia" w:ascii="Times New Roman" w:hAnsi="Times New Roman" w:cs="宋体"/>
        <w:b/>
        <w:bCs/>
      </w:rPr>
    </w:lvl>
    <w:lvl w:ilvl="3" w:tentative="0">
      <w:start w:val="1"/>
      <w:numFmt w:val="decimal"/>
      <w:isLgl/>
      <w:lvlText w:val="%1.%2.%3.%4.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isLgl/>
      <w:lvlText w:val="%1.%2.%3.%4.%5.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isLgl/>
      <w:lvlText w:val="%1.%2.%3.%4.%5.%6."/>
      <w:lvlJc w:val="left"/>
      <w:pPr>
        <w:ind w:left="1151" w:hanging="1151"/>
      </w:pPr>
      <w:rPr>
        <w:rFonts w:hint="eastAsia"/>
      </w:rPr>
    </w:lvl>
    <w:lvl w:ilvl="6" w:tentative="0">
      <w:start w:val="1"/>
      <w:numFmt w:val="decimal"/>
      <w:isLgl/>
      <w:lvlText w:val="%1.%2.%3.%4.%5.%6.%7.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isLgl/>
      <w:lvlText w:val="%1.%2.%3.%4.%5.%6.%7.%8.%9."/>
      <w:lvlJc w:val="left"/>
      <w:pPr>
        <w:ind w:left="1583" w:hanging="1583"/>
      </w:pPr>
      <w:rPr>
        <w:rFonts w:hint="eastAsia"/>
      </w:rPr>
    </w:lvl>
  </w:abstractNum>
  <w:abstractNum w:abstractNumId="1">
    <w:nsid w:val="70011647"/>
    <w:multiLevelType w:val="multilevel"/>
    <w:tmpl w:val="70011647"/>
    <w:lvl w:ilvl="0" w:tentative="0">
      <w:start w:val="1"/>
      <w:numFmt w:val="chineseCounting"/>
      <w:pStyle w:val="2"/>
      <w:suff w:val="nothing"/>
      <w:lvlText w:val="第%1章 "/>
      <w:lvlJc w:val="left"/>
      <w:pPr>
        <w:ind w:left="432" w:hanging="432"/>
      </w:pPr>
      <w:rPr>
        <w:rFonts w:hint="eastAsia" w:ascii="黑体" w:hAnsi="黑体" w:eastAsia="黑体" w:cs="黑体"/>
        <w:b/>
        <w:bCs/>
      </w:rPr>
    </w:lvl>
    <w:lvl w:ilvl="1" w:tentative="0">
      <w:start w:val="1"/>
      <w:numFmt w:val="decimal"/>
      <w:isLgl/>
      <w:lvlText w:val="%1.%2."/>
      <w:lvlJc w:val="left"/>
      <w:pPr>
        <w:ind w:left="575" w:hanging="575"/>
      </w:pPr>
      <w:rPr>
        <w:rFonts w:hint="eastAsia"/>
        <w:b/>
        <w:bCs/>
      </w:rPr>
    </w:lvl>
    <w:lvl w:ilvl="2" w:tentative="0">
      <w:start w:val="1"/>
      <w:numFmt w:val="decimal"/>
      <w:pStyle w:val="4"/>
      <w:isLgl/>
      <w:lvlText w:val="%1.%2.%3."/>
      <w:lvlJc w:val="left"/>
      <w:pPr>
        <w:ind w:left="720" w:hanging="720"/>
      </w:pPr>
      <w:rPr>
        <w:rFonts w:hint="eastAsia" w:ascii="Times New Roman" w:hAnsi="Times New Roman" w:cs="Times New Roman"/>
        <w:b/>
        <w:bCs/>
      </w:rPr>
    </w:lvl>
    <w:lvl w:ilvl="3" w:tentative="0">
      <w:start w:val="1"/>
      <w:numFmt w:val="decimal"/>
      <w:pStyle w:val="6"/>
      <w:isLgl/>
      <w:lvlText w:val="%1.%2.%3.%4.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pStyle w:val="7"/>
      <w:isLgl/>
      <w:lvlText w:val="%1.%2.%3.%4.%5.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pStyle w:val="8"/>
      <w:isLgl/>
      <w:lvlText w:val="%1.%2.%3.%4.%5.%6."/>
      <w:lvlJc w:val="left"/>
      <w:pPr>
        <w:ind w:left="1151" w:hanging="1151"/>
      </w:pPr>
      <w:rPr>
        <w:rFonts w:hint="eastAsia"/>
      </w:rPr>
    </w:lvl>
    <w:lvl w:ilvl="6" w:tentative="0">
      <w:start w:val="1"/>
      <w:numFmt w:val="decimal"/>
      <w:pStyle w:val="9"/>
      <w:isLgl/>
      <w:lvlText w:val="%1.%2.%3.%4.%5.%6.%7.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pStyle w:val="10"/>
      <w:isLgl/>
      <w:lvlText w:val="%1.%2.%3.%4.%5.%6.%7.%8.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pStyle w:val="11"/>
      <w:isLgl/>
      <w:lvlText w:val="%1.%2.%3.%4.%5.%6.%7.%8.%9."/>
      <w:lvlJc w:val="left"/>
      <w:pPr>
        <w:ind w:left="1583" w:hanging="1583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E525FA"/>
    <w:rsid w:val="00FB00E0"/>
    <w:rsid w:val="024E3ACE"/>
    <w:rsid w:val="02862D86"/>
    <w:rsid w:val="040B175C"/>
    <w:rsid w:val="042C60EA"/>
    <w:rsid w:val="063D19BA"/>
    <w:rsid w:val="07234C5F"/>
    <w:rsid w:val="07ED5EF8"/>
    <w:rsid w:val="08A06341"/>
    <w:rsid w:val="099E150C"/>
    <w:rsid w:val="0A2B73C4"/>
    <w:rsid w:val="0DD75906"/>
    <w:rsid w:val="10866C8B"/>
    <w:rsid w:val="11936342"/>
    <w:rsid w:val="143667B1"/>
    <w:rsid w:val="14E525FA"/>
    <w:rsid w:val="15D76586"/>
    <w:rsid w:val="1887378A"/>
    <w:rsid w:val="191121A5"/>
    <w:rsid w:val="191924D8"/>
    <w:rsid w:val="1CC61FD8"/>
    <w:rsid w:val="1D1B6E43"/>
    <w:rsid w:val="1D7B37A3"/>
    <w:rsid w:val="1DF324FB"/>
    <w:rsid w:val="23D0140A"/>
    <w:rsid w:val="257B774E"/>
    <w:rsid w:val="27A0480D"/>
    <w:rsid w:val="282A273B"/>
    <w:rsid w:val="28A836F0"/>
    <w:rsid w:val="28B77566"/>
    <w:rsid w:val="2A390B59"/>
    <w:rsid w:val="2AE337D3"/>
    <w:rsid w:val="2EE0358F"/>
    <w:rsid w:val="2F285C58"/>
    <w:rsid w:val="30EE56F4"/>
    <w:rsid w:val="31F3651A"/>
    <w:rsid w:val="32EC373C"/>
    <w:rsid w:val="354013A3"/>
    <w:rsid w:val="36F01CDC"/>
    <w:rsid w:val="3A2E338C"/>
    <w:rsid w:val="3D8D4B20"/>
    <w:rsid w:val="3EA03754"/>
    <w:rsid w:val="3F4D02CB"/>
    <w:rsid w:val="421671F5"/>
    <w:rsid w:val="43736DBA"/>
    <w:rsid w:val="438C5DC2"/>
    <w:rsid w:val="45450D0E"/>
    <w:rsid w:val="455A4B9F"/>
    <w:rsid w:val="485F3479"/>
    <w:rsid w:val="4A9D14EE"/>
    <w:rsid w:val="4B6A7976"/>
    <w:rsid w:val="4BC241A8"/>
    <w:rsid w:val="4C0B6604"/>
    <w:rsid w:val="502A5888"/>
    <w:rsid w:val="54A8397C"/>
    <w:rsid w:val="562156B6"/>
    <w:rsid w:val="57705BF9"/>
    <w:rsid w:val="583F05FA"/>
    <w:rsid w:val="58DB747B"/>
    <w:rsid w:val="594017C0"/>
    <w:rsid w:val="5A0B2366"/>
    <w:rsid w:val="5B577764"/>
    <w:rsid w:val="5E85383A"/>
    <w:rsid w:val="5F3D4341"/>
    <w:rsid w:val="61E83DDC"/>
    <w:rsid w:val="63184B3A"/>
    <w:rsid w:val="63B523A0"/>
    <w:rsid w:val="64C40F61"/>
    <w:rsid w:val="67ED42D2"/>
    <w:rsid w:val="68FE0B7E"/>
    <w:rsid w:val="698B03ED"/>
    <w:rsid w:val="69F764C9"/>
    <w:rsid w:val="6AB745EA"/>
    <w:rsid w:val="6C3C6B4D"/>
    <w:rsid w:val="735018BD"/>
    <w:rsid w:val="74337EFD"/>
    <w:rsid w:val="74402620"/>
    <w:rsid w:val="74751F7A"/>
    <w:rsid w:val="75823BEA"/>
    <w:rsid w:val="77036558"/>
    <w:rsid w:val="772F54FD"/>
    <w:rsid w:val="78681D5F"/>
    <w:rsid w:val="792A4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pageBreakBefore/>
      <w:numPr>
        <w:ilvl w:val="0"/>
        <w:numId w:val="1"/>
      </w:numPr>
      <w:spacing w:before="0" w:after="0"/>
      <w:ind w:left="432" w:hanging="432" w:firstLineChars="0"/>
    </w:pPr>
    <w:rPr>
      <w:rFonts w:ascii="黑体" w:hAnsi="黑体" w:eastAsia="黑体" w:cs="黑体"/>
      <w:bCs/>
      <w:snapToGrid w:val="0"/>
      <w:color w:val="000000"/>
      <w:spacing w:val="3"/>
      <w:kern w:val="44"/>
      <w:sz w:val="36"/>
      <w:szCs w:val="36"/>
    </w:rPr>
  </w:style>
  <w:style w:type="paragraph" w:styleId="3">
    <w:name w:val="heading 2"/>
    <w:basedOn w:val="1"/>
    <w:next w:val="1"/>
    <w:semiHidden/>
    <w:unhideWhenUsed/>
    <w:qFormat/>
    <w:uiPriority w:val="0"/>
    <w:pPr>
      <w:numPr>
        <w:ilvl w:val="1"/>
        <w:numId w:val="2"/>
      </w:numPr>
      <w:tabs>
        <w:tab w:val="left" w:pos="420"/>
      </w:tabs>
      <w:adjustRightInd w:val="0"/>
      <w:snapToGrid w:val="0"/>
      <w:spacing w:before="50" w:beforeLines="50" w:line="360" w:lineRule="auto"/>
      <w:ind w:left="575" w:hanging="575"/>
      <w:outlineLvl w:val="1"/>
    </w:pPr>
    <w:rPr>
      <w:rFonts w:ascii="MiSans" w:hAnsi="MiSans" w:eastAsia="黑体" w:cstheme="minorBidi"/>
      <w:b/>
      <w:bCs/>
      <w:kern w:val="2"/>
      <w:sz w:val="32"/>
      <w:szCs w:val="32"/>
      <w:lang w:val="en-US" w:eastAsia="zh-CN" w:bidi="ar-SA"/>
    </w:rPr>
  </w:style>
  <w:style w:type="paragraph" w:styleId="4">
    <w:name w:val="heading 3"/>
    <w:basedOn w:val="1"/>
    <w:next w:val="5"/>
    <w:link w:val="19"/>
    <w:semiHidden/>
    <w:unhideWhenUsed/>
    <w:qFormat/>
    <w:uiPriority w:val="0"/>
    <w:pPr>
      <w:numPr>
        <w:ilvl w:val="2"/>
        <w:numId w:val="1"/>
      </w:numPr>
      <w:spacing w:before="0" w:beforeAutospacing="1" w:after="0" w:afterAutospacing="1"/>
      <w:ind w:left="720" w:hanging="720" w:firstLineChars="0"/>
      <w:jc w:val="left"/>
      <w:outlineLvl w:val="2"/>
    </w:pPr>
    <w:rPr>
      <w:rFonts w:hint="eastAsia" w:ascii="宋体" w:hAnsi="宋体" w:eastAsia="黑体" w:cs="宋体"/>
      <w:b/>
      <w:bCs/>
      <w:kern w:val="0"/>
      <w:szCs w:val="27"/>
      <w:lang w:bidi="ar"/>
    </w:rPr>
  </w:style>
  <w:style w:type="paragraph" w:styleId="6">
    <w:name w:val="heading 4"/>
    <w:next w:val="1"/>
    <w:semiHidden/>
    <w:unhideWhenUsed/>
    <w:qFormat/>
    <w:uiPriority w:val="0"/>
    <w:pPr>
      <w:numPr>
        <w:ilvl w:val="3"/>
        <w:numId w:val="1"/>
      </w:numPr>
      <w:adjustRightInd w:val="0"/>
      <w:snapToGrid w:val="0"/>
      <w:spacing w:before="50" w:beforeLines="50" w:line="360" w:lineRule="auto"/>
      <w:ind w:left="864" w:hanging="864"/>
      <w:outlineLvl w:val="3"/>
    </w:pPr>
    <w:rPr>
      <w:rFonts w:ascii="MiSans" w:hAnsi="MiSans" w:eastAsia="黑体" w:cstheme="minorBidi"/>
      <w:b/>
      <w:bCs/>
      <w:sz w:val="28"/>
      <w:szCs w:val="28"/>
      <w:lang w:val="en-US" w:eastAsia="zh-CN" w:bidi="ar-SA"/>
    </w:rPr>
  </w:style>
  <w:style w:type="paragraph" w:styleId="7">
    <w:name w:val="heading 5"/>
    <w:next w:val="1"/>
    <w:link w:val="22"/>
    <w:semiHidden/>
    <w:unhideWhenUsed/>
    <w:qFormat/>
    <w:uiPriority w:val="0"/>
    <w:pPr>
      <w:numPr>
        <w:ilvl w:val="4"/>
        <w:numId w:val="1"/>
      </w:numPr>
      <w:adjustRightInd w:val="0"/>
      <w:snapToGrid w:val="0"/>
      <w:spacing w:before="50" w:beforeLines="50" w:line="360" w:lineRule="auto"/>
      <w:ind w:left="1008" w:hanging="1008"/>
      <w:outlineLvl w:val="4"/>
    </w:pPr>
    <w:rPr>
      <w:rFonts w:ascii="MiSans" w:hAnsi="MiSans" w:eastAsia="黑体" w:cstheme="minorBidi"/>
      <w:b/>
      <w:bCs/>
      <w:color w:val="333333"/>
      <w:sz w:val="28"/>
      <w:szCs w:val="22"/>
      <w:lang w:val="en-US" w:eastAsia="zh-CN" w:bidi="ar-SA"/>
    </w:rPr>
  </w:style>
  <w:style w:type="paragraph" w:styleId="8">
    <w:name w:val="heading 6"/>
    <w:next w:val="1"/>
    <w:semiHidden/>
    <w:unhideWhenUsed/>
    <w:qFormat/>
    <w:uiPriority w:val="0"/>
    <w:pPr>
      <w:numPr>
        <w:ilvl w:val="5"/>
        <w:numId w:val="1"/>
      </w:numPr>
      <w:adjustRightInd w:val="0"/>
      <w:snapToGrid w:val="0"/>
      <w:spacing w:before="50" w:beforeLines="50" w:line="360" w:lineRule="auto"/>
      <w:outlineLvl w:val="5"/>
    </w:pPr>
    <w:rPr>
      <w:rFonts w:ascii="MiSans" w:hAnsi="MiSans" w:eastAsia="黑体" w:cstheme="minorBidi"/>
      <w:b/>
      <w:bCs/>
      <w:color w:val="333333"/>
      <w:sz w:val="28"/>
      <w:szCs w:val="22"/>
      <w:lang w:val="en-US" w:eastAsia="zh-CN" w:bidi="ar-SA"/>
    </w:rPr>
  </w:style>
  <w:style w:type="paragraph" w:styleId="9">
    <w:name w:val="heading 7"/>
    <w:next w:val="1"/>
    <w:semiHidden/>
    <w:unhideWhenUsed/>
    <w:qFormat/>
    <w:uiPriority w:val="0"/>
    <w:pPr>
      <w:numPr>
        <w:ilvl w:val="6"/>
        <w:numId w:val="1"/>
      </w:numPr>
      <w:adjustRightInd w:val="0"/>
      <w:snapToGrid w:val="0"/>
      <w:spacing w:before="50" w:beforeLines="50" w:line="360" w:lineRule="auto"/>
      <w:ind w:left="1296" w:hanging="1296"/>
      <w:outlineLvl w:val="6"/>
    </w:pPr>
    <w:rPr>
      <w:rFonts w:ascii="MiSans" w:hAnsi="MiSans" w:eastAsia="黑体" w:cstheme="minorBidi"/>
      <w:b/>
      <w:bCs/>
      <w:color w:val="333333"/>
      <w:sz w:val="28"/>
      <w:szCs w:val="22"/>
      <w:lang w:val="en-US" w:eastAsia="zh-CN" w:bidi="ar-SA"/>
    </w:rPr>
  </w:style>
  <w:style w:type="paragraph" w:styleId="10">
    <w:name w:val="heading 8"/>
    <w:next w:val="1"/>
    <w:semiHidden/>
    <w:unhideWhenUsed/>
    <w:qFormat/>
    <w:uiPriority w:val="0"/>
    <w:pPr>
      <w:numPr>
        <w:ilvl w:val="7"/>
        <w:numId w:val="1"/>
      </w:numPr>
      <w:adjustRightInd w:val="0"/>
      <w:snapToGrid w:val="0"/>
      <w:spacing w:before="50" w:beforeLines="50" w:line="264" w:lineRule="auto"/>
      <w:outlineLvl w:val="7"/>
    </w:pPr>
    <w:rPr>
      <w:rFonts w:ascii="MiSans" w:hAnsi="MiSans" w:eastAsia="黑体" w:cstheme="majorBidi"/>
      <w:b/>
      <w:bCs/>
      <w:color w:val="333333"/>
      <w:sz w:val="22"/>
      <w:szCs w:val="22"/>
      <w:lang w:val="en-US" w:eastAsia="zh-CN" w:bidi="ar-SA"/>
    </w:rPr>
  </w:style>
  <w:style w:type="paragraph" w:styleId="11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 w:firstLineChars="0"/>
      <w:outlineLvl w:val="8"/>
    </w:pPr>
    <w:rPr>
      <w:rFonts w:ascii="Arial" w:hAnsi="Arial" w:eastAsia="黑体"/>
      <w:sz w:val="21"/>
    </w:rPr>
  </w:style>
  <w:style w:type="character" w:default="1" w:styleId="17">
    <w:name w:val="Default Paragraph Font"/>
    <w:autoRedefine/>
    <w:semiHidden/>
    <w:unhideWhenUsed/>
    <w:qFormat/>
    <w:uiPriority w:val="1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No Spacing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12">
    <w:name w:val="Normal Indent"/>
    <w:basedOn w:val="1"/>
    <w:qFormat/>
    <w:uiPriority w:val="0"/>
    <w:pPr>
      <w:ind w:firstLine="420" w:firstLineChars="200"/>
    </w:pPr>
  </w:style>
  <w:style w:type="paragraph" w:styleId="13">
    <w:name w:val="toc 3"/>
    <w:basedOn w:val="1"/>
    <w:next w:val="1"/>
    <w:qFormat/>
    <w:uiPriority w:val="0"/>
    <w:pPr>
      <w:spacing w:before="50" w:after="50"/>
      <w:ind w:firstLine="1120" w:firstLineChars="400"/>
    </w:pPr>
  </w:style>
  <w:style w:type="paragraph" w:styleId="14">
    <w:name w:val="toc 2"/>
    <w:basedOn w:val="1"/>
    <w:next w:val="1"/>
    <w:qFormat/>
    <w:uiPriority w:val="0"/>
    <w:pPr>
      <w:spacing w:before="50" w:after="50"/>
      <w:ind w:firstLine="560" w:firstLineChars="200"/>
    </w:pPr>
  </w:style>
  <w:style w:type="paragraph" w:styleId="15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character" w:customStyle="1" w:styleId="18">
    <w:name w:val="标题 1 字符"/>
    <w:basedOn w:val="17"/>
    <w:link w:val="2"/>
    <w:autoRedefine/>
    <w:qFormat/>
    <w:uiPriority w:val="9"/>
    <w:rPr>
      <w:rFonts w:eastAsia="宋体" w:asciiTheme="minorAscii" w:hAnsiTheme="minorAscii"/>
      <w:b/>
      <w:bCs/>
      <w:snapToGrid w:val="0"/>
      <w:color w:val="000000"/>
      <w:spacing w:val="3"/>
      <w:kern w:val="44"/>
      <w:sz w:val="44"/>
      <w:szCs w:val="44"/>
    </w:rPr>
  </w:style>
  <w:style w:type="character" w:customStyle="1" w:styleId="19">
    <w:name w:val="标题 3 Char"/>
    <w:link w:val="4"/>
    <w:autoRedefine/>
    <w:qFormat/>
    <w:uiPriority w:val="0"/>
    <w:rPr>
      <w:rFonts w:ascii="宋体" w:hAnsi="宋体" w:eastAsia="黑体"/>
      <w:b/>
      <w:sz w:val="32"/>
      <w:szCs w:val="22"/>
    </w:rPr>
  </w:style>
  <w:style w:type="paragraph" w:customStyle="1" w:styleId="20">
    <w:name w:val="宋体正文字体"/>
    <w:basedOn w:val="1"/>
    <w:link w:val="21"/>
    <w:autoRedefine/>
    <w:qFormat/>
    <w:uiPriority w:val="0"/>
    <w:pPr>
      <w:wordWrap w:val="0"/>
      <w:adjustRightInd w:val="0"/>
      <w:snapToGrid w:val="0"/>
      <w:spacing w:line="560" w:lineRule="exact"/>
      <w:ind w:firstLine="643" w:firstLineChars="200"/>
    </w:pPr>
    <w:rPr>
      <w:rFonts w:eastAsia="宋体"/>
      <w:sz w:val="24"/>
    </w:rPr>
  </w:style>
  <w:style w:type="character" w:customStyle="1" w:styleId="21">
    <w:name w:val="宋体正文字体 Char"/>
    <w:link w:val="20"/>
    <w:qFormat/>
    <w:uiPriority w:val="0"/>
    <w:rPr>
      <w:rFonts w:eastAsia="宋体"/>
      <w:sz w:val="24"/>
    </w:rPr>
  </w:style>
  <w:style w:type="character" w:customStyle="1" w:styleId="22">
    <w:name w:val="标题 5 字符"/>
    <w:link w:val="7"/>
    <w:qFormat/>
    <w:uiPriority w:val="9"/>
    <w:rPr>
      <w:rFonts w:ascii="MiSans" w:hAnsi="MiSans" w:eastAsia="黑体" w:cstheme="minorBidi"/>
      <w:b/>
      <w:bCs/>
      <w:color w:val="333333"/>
      <w:sz w:val="28"/>
      <w:szCs w:val="22"/>
      <w:lang w:val="en-US" w:eastAsia="zh-CN" w:bidi="ar-SA"/>
    </w:rPr>
  </w:style>
  <w:style w:type="paragraph" w:customStyle="1" w:styleId="23">
    <w:name w:val="正文缩进1"/>
    <w:qFormat/>
    <w:uiPriority w:val="99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977</Words>
  <Characters>1240</Characters>
  <Lines>0</Lines>
  <Paragraphs>0</Paragraphs>
  <TotalTime>0</TotalTime>
  <ScaleCrop>false</ScaleCrop>
  <LinksUpToDate>false</LinksUpToDate>
  <CharactersWithSpaces>1273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2025-07-03T08:29:00Z</dcterms:created>
  <dc:creator>一一</dc:creator>
  <cp:lastModifiedBy>Administrator</cp:lastModifiedBy>
  <dcterms:modified xsi:type="dcterms:W3CDTF">2025-10-22T02:37:55Z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2EDB28DF7ABD4C0DA69520EE6C855318_11</vt:lpwstr>
  </property>
  <property fmtid="{D5CDD505-2E9C-101B-9397-08002B2CF9AE}" pid="4" name="KSOTemplateDocerSaveRecord">
    <vt:lpwstr>eyJoZGlkIjoiYmE1NzlkZTRlY2JjNjIzMjg2YWQ1MjJjZGE4YjVhNTMiLCJ1c2VySWQiOiIxNDkwNzEyMjkwIn0=</vt:lpwstr>
  </property>
</Properties>
</file>