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A86F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宋体" w:hAnsi="宋体" w:cs="宋体"/>
          <w:b/>
          <w:bCs/>
          <w:color w:val="333333"/>
          <w:sz w:val="30"/>
          <w:szCs w:val="30"/>
          <w:shd w:val="clear" w:fill="FFFFFF"/>
          <w:lang w:val="en-US" w:eastAsia="zh-CN"/>
        </w:rPr>
      </w:pPr>
      <w:r>
        <w:rPr>
          <w:rFonts w:hint="eastAsia" w:ascii="宋体" w:hAnsi="宋体" w:cs="宋体"/>
          <w:b/>
          <w:bCs/>
          <w:color w:val="333333"/>
          <w:sz w:val="30"/>
          <w:szCs w:val="30"/>
          <w:shd w:val="clear" w:fill="FFFFFF"/>
          <w:lang w:val="en-US" w:eastAsia="zh-CN"/>
        </w:rPr>
        <w:t>附件1：</w:t>
      </w:r>
    </w:p>
    <w:p w14:paraId="3863373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color w:val="333333"/>
          <w:sz w:val="30"/>
          <w:szCs w:val="30"/>
          <w:shd w:val="clear" w:fill="FFFFFF"/>
          <w:lang w:val="zh-CN" w:eastAsia="zh-CN"/>
        </w:rPr>
      </w:pPr>
      <w:r>
        <w:rPr>
          <w:rFonts w:hint="eastAsia" w:ascii="宋体" w:hAnsi="宋体" w:cs="宋体"/>
          <w:b/>
          <w:bCs/>
          <w:color w:val="333333"/>
          <w:sz w:val="30"/>
          <w:szCs w:val="30"/>
          <w:shd w:val="clear" w:fill="FFFFFF"/>
          <w:lang w:val="zh-CN" w:eastAsia="zh-CN"/>
        </w:rPr>
        <w:t>武穴市2026年度松材线虫病松褐天牛防治项目</w:t>
      </w:r>
    </w:p>
    <w:p w14:paraId="48F3B7E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333333"/>
          <w:sz w:val="24"/>
          <w:szCs w:val="24"/>
          <w:shd w:val="clear" w:fill="FFFFFF"/>
        </w:rPr>
      </w:pPr>
      <w:r>
        <w:rPr>
          <w:rFonts w:hint="eastAsia" w:ascii="宋体" w:hAnsi="宋体" w:eastAsia="宋体" w:cs="宋体"/>
          <w:b/>
          <w:bCs/>
          <w:color w:val="333333"/>
          <w:sz w:val="30"/>
          <w:szCs w:val="30"/>
          <w:shd w:val="clear" w:fill="FFFFFF"/>
          <w:lang w:eastAsia="zh-CN"/>
        </w:rPr>
        <w:t>征求意见公告</w:t>
      </w:r>
    </w:p>
    <w:p w14:paraId="6D7BB668">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b/>
          <w:sz w:val="24"/>
          <w:szCs w:val="24"/>
          <w:lang w:eastAsia="zh-CN"/>
        </w:rPr>
      </w:pPr>
      <w:bookmarkStart w:id="0" w:name="_Toc430035535"/>
      <w:bookmarkEnd w:id="0"/>
      <w:bookmarkStart w:id="1" w:name="_Toc109899521"/>
      <w:bookmarkStart w:id="2" w:name="_Toc109899940"/>
      <w:bookmarkStart w:id="3" w:name="_Toc109900359"/>
      <w:bookmarkStart w:id="4" w:name="_Toc109897422"/>
      <w:bookmarkStart w:id="5" w:name="_Hlk517968013"/>
      <w:bookmarkStart w:id="6" w:name="_Hlk158131820"/>
      <w:r>
        <w:rPr>
          <w:rFonts w:hint="eastAsia" w:ascii="宋体" w:hAnsi="宋体" w:eastAsia="宋体" w:cs="宋体"/>
          <w:b/>
          <w:sz w:val="24"/>
          <w:szCs w:val="24"/>
        </w:rPr>
        <w:t>一、项目基本情况</w:t>
      </w:r>
      <w:bookmarkEnd w:id="1"/>
      <w:bookmarkEnd w:id="2"/>
      <w:bookmarkEnd w:id="3"/>
      <w:bookmarkEnd w:id="4"/>
      <w:r>
        <w:rPr>
          <w:rFonts w:hint="eastAsia" w:ascii="宋体" w:hAnsi="宋体" w:eastAsia="宋体" w:cs="宋体"/>
          <w:b/>
          <w:sz w:val="24"/>
          <w:szCs w:val="24"/>
          <w:lang w:eastAsia="zh-CN"/>
        </w:rPr>
        <w:t>：</w:t>
      </w:r>
    </w:p>
    <w:p w14:paraId="46BC1405">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采购计划备案号：</w:t>
      </w:r>
      <w:r>
        <w:rPr>
          <w:rFonts w:hint="eastAsia" w:ascii="宋体" w:hAnsi="宋体" w:eastAsia="宋体" w:cs="宋体"/>
          <w:sz w:val="24"/>
          <w:szCs w:val="24"/>
          <w:u w:val="none"/>
          <w:lang w:eastAsia="zh-CN"/>
        </w:rPr>
        <w:t>421182-2026-00069</w:t>
      </w:r>
      <w:r>
        <w:rPr>
          <w:rFonts w:hint="eastAsia" w:ascii="宋体" w:hAnsi="宋体" w:eastAsia="宋体" w:cs="宋体"/>
          <w:sz w:val="24"/>
          <w:szCs w:val="24"/>
          <w:u w:val="none"/>
          <w:lang w:val="en-US" w:eastAsia="zh-CN"/>
        </w:rPr>
        <w:t xml:space="preserve"> </w:t>
      </w:r>
    </w:p>
    <w:p w14:paraId="1B2D1910">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rPr>
        <w:t>2</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项目编号：</w:t>
      </w:r>
      <w:r>
        <w:rPr>
          <w:rFonts w:hint="eastAsia" w:ascii="宋体" w:hAnsi="宋体" w:eastAsia="宋体" w:cs="宋体"/>
          <w:sz w:val="24"/>
          <w:szCs w:val="24"/>
          <w:u w:val="none"/>
          <w:lang w:eastAsia="zh-CN"/>
        </w:rPr>
        <w:t>26CG</w:t>
      </w:r>
      <w:r>
        <w:rPr>
          <w:rFonts w:hint="eastAsia" w:ascii="宋体" w:hAnsi="宋体" w:eastAsia="宋体" w:cs="宋体"/>
          <w:sz w:val="24"/>
          <w:szCs w:val="24"/>
          <w:u w:val="none"/>
          <w:lang w:val="en-US" w:eastAsia="zh-CN"/>
        </w:rPr>
        <w:t xml:space="preserve"> </w:t>
      </w:r>
    </w:p>
    <w:p w14:paraId="47833B4C">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u w:val="none"/>
          <w:lang w:eastAsia="zh-CN"/>
        </w:rPr>
      </w:pPr>
      <w:r>
        <w:rPr>
          <w:rFonts w:hint="eastAsia" w:ascii="宋体" w:hAnsi="宋体" w:eastAsia="宋体" w:cs="宋体"/>
          <w:sz w:val="24"/>
          <w:szCs w:val="24"/>
          <w:u w:val="none"/>
        </w:rPr>
        <w:t>3</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项目名称：</w:t>
      </w:r>
      <w:r>
        <w:rPr>
          <w:rFonts w:hint="eastAsia" w:ascii="宋体" w:hAnsi="宋体" w:eastAsia="宋体" w:cs="宋体"/>
          <w:sz w:val="24"/>
          <w:szCs w:val="24"/>
          <w:u w:val="none"/>
          <w:lang w:eastAsia="zh-CN"/>
        </w:rPr>
        <w:t>武穴市2026年度松材线虫病松褐天牛防治项目</w:t>
      </w:r>
    </w:p>
    <w:p w14:paraId="1ECE636D">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4</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采购方式：竞争性磋商</w:t>
      </w:r>
    </w:p>
    <w:p w14:paraId="0F17E558">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5</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预算金额：</w:t>
      </w:r>
      <w:r>
        <w:rPr>
          <w:rFonts w:hint="eastAsia" w:ascii="宋体" w:hAnsi="宋体" w:eastAsia="宋体" w:cs="宋体"/>
          <w:sz w:val="24"/>
          <w:szCs w:val="24"/>
          <w:u w:val="none"/>
          <w:lang w:val="en-US" w:eastAsia="zh-CN"/>
        </w:rPr>
        <w:t>120.6万元</w:t>
      </w:r>
    </w:p>
    <w:p w14:paraId="34B386BA">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6</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最高限价：</w:t>
      </w:r>
      <w:r>
        <w:rPr>
          <w:rFonts w:hint="eastAsia" w:ascii="宋体" w:hAnsi="宋体" w:eastAsia="宋体" w:cs="宋体"/>
          <w:sz w:val="24"/>
          <w:szCs w:val="24"/>
          <w:u w:val="none"/>
          <w:lang w:val="en-US" w:eastAsia="zh-CN"/>
        </w:rPr>
        <w:t>120.6×97%=116.982万元</w:t>
      </w:r>
    </w:p>
    <w:p w14:paraId="3B4F3112">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u w:val="none"/>
          <w:lang w:eastAsia="zh-CN"/>
        </w:rPr>
      </w:pPr>
      <w:r>
        <w:rPr>
          <w:rFonts w:hint="eastAsia" w:ascii="宋体" w:hAnsi="宋体" w:eastAsia="宋体" w:cs="宋体"/>
          <w:sz w:val="24"/>
          <w:szCs w:val="24"/>
          <w:u w:val="none"/>
        </w:rPr>
        <w:t>7</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采购需求：为切实做好我市松材线虫病疫情防控工作，维护生态安全，按照黄冈市重大林业有害生物防控指挥部《关于做好我市2026年重点林业有害生物防治工作的通知》(黄林生防指办(2026)1号)的要求，进一步巩固我市“窗口期”松材线虫病病枯死木清理的成果，决定在4-8月开展2026年度松材线虫病松褐天牛防治工作，切断松材线虫病传播媒介。防治范围涉及大法寺镇、四股平林场、余川镇</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梅川镇、四望镇、花桥镇、刊江街道。主要任务</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一是对防治范围内病枯死木清理涉及的重点区域进行松褐天牛防治工作，预计防治面积</w:t>
      </w:r>
      <w:r>
        <w:rPr>
          <w:rFonts w:hint="eastAsia" w:ascii="宋体" w:hAnsi="宋体" w:eastAsia="宋体" w:cs="宋体"/>
          <w:sz w:val="24"/>
          <w:szCs w:val="24"/>
          <w:u w:val="none"/>
          <w:lang w:val="en-US" w:eastAsia="zh-CN"/>
        </w:rPr>
        <w:t>4</w:t>
      </w:r>
      <w:r>
        <w:rPr>
          <w:rFonts w:hint="eastAsia" w:ascii="宋体" w:hAnsi="宋体" w:eastAsia="宋体" w:cs="宋体"/>
          <w:sz w:val="24"/>
          <w:szCs w:val="24"/>
          <w:u w:val="none"/>
        </w:rPr>
        <w:t>.02万亩，防治两次(以实际防治面积为准)。二是做好松褐天牛虫口密度监测等工作。</w:t>
      </w:r>
      <w:r>
        <w:rPr>
          <w:rFonts w:hint="eastAsia" w:ascii="宋体" w:hAnsi="宋体" w:cs="宋体"/>
          <w:sz w:val="24"/>
          <w:szCs w:val="24"/>
          <w:u w:val="none"/>
          <w:lang w:eastAsia="zh-CN"/>
        </w:rPr>
        <w:t>（</w:t>
      </w:r>
      <w:r>
        <w:rPr>
          <w:rFonts w:hint="eastAsia" w:ascii="宋体" w:hAnsi="宋体" w:cs="宋体"/>
          <w:sz w:val="24"/>
          <w:szCs w:val="24"/>
          <w:u w:val="none"/>
          <w:lang w:val="en-US" w:eastAsia="zh-CN"/>
        </w:rPr>
        <w:t>详见第三章</w:t>
      </w:r>
      <w:r>
        <w:rPr>
          <w:rFonts w:hint="eastAsia" w:ascii="宋体" w:hAnsi="宋体" w:cs="宋体"/>
          <w:sz w:val="24"/>
          <w:szCs w:val="24"/>
          <w:u w:val="none"/>
          <w:lang w:eastAsia="zh-CN"/>
        </w:rPr>
        <w:t>）</w:t>
      </w:r>
    </w:p>
    <w:p w14:paraId="250E71EA">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8</w:t>
      </w:r>
      <w:r>
        <w:rPr>
          <w:rFonts w:hint="eastAsia" w:ascii="宋体" w:hAnsi="宋体" w:eastAsia="宋体" w:cs="宋体"/>
          <w:sz w:val="24"/>
          <w:szCs w:val="24"/>
          <w:u w:val="none"/>
          <w:lang w:eastAsia="zh-CN"/>
        </w:rPr>
        <w:t>、</w:t>
      </w:r>
      <w:r>
        <w:rPr>
          <w:rFonts w:hint="eastAsia" w:ascii="宋体" w:hAnsi="宋体" w:eastAsia="宋体" w:cs="宋体"/>
          <w:sz w:val="24"/>
          <w:szCs w:val="24"/>
          <w:u w:val="none"/>
        </w:rPr>
        <w:t>合同履行期限：</w:t>
      </w:r>
      <w:r>
        <w:rPr>
          <w:rFonts w:hint="eastAsia" w:ascii="宋体" w:hAnsi="宋体" w:eastAsia="宋体" w:cs="宋体"/>
          <w:color w:val="auto"/>
          <w:sz w:val="24"/>
          <w:szCs w:val="24"/>
          <w:u w:val="none"/>
          <w:lang w:val="en-US" w:eastAsia="zh-CN"/>
        </w:rPr>
        <w:t>120日历天</w:t>
      </w:r>
      <w:r>
        <w:rPr>
          <w:rFonts w:hint="eastAsia" w:ascii="宋体" w:hAnsi="宋体" w:eastAsia="宋体" w:cs="宋体"/>
          <w:color w:val="auto"/>
          <w:sz w:val="24"/>
          <w:szCs w:val="24"/>
          <w:u w:val="none"/>
        </w:rPr>
        <w:t>。</w:t>
      </w:r>
    </w:p>
    <w:p w14:paraId="2B7EAE2B">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w:t>
      </w:r>
      <w:r>
        <w:rPr>
          <w:rFonts w:hint="eastAsia" w:ascii="宋体" w:hAnsi="宋体" w:eastAsia="宋体" w:cs="宋体"/>
          <w:sz w:val="24"/>
          <w:szCs w:val="24"/>
          <w:lang w:eastAsia="zh-CN"/>
        </w:rPr>
        <w:t>、</w:t>
      </w:r>
      <w:r>
        <w:rPr>
          <w:rFonts w:hint="eastAsia" w:ascii="宋体" w:hAnsi="宋体" w:eastAsia="宋体" w:cs="宋体"/>
          <w:sz w:val="24"/>
          <w:szCs w:val="24"/>
        </w:rPr>
        <w:t>本项目（是/否）接受联合体投标：否</w:t>
      </w:r>
    </w:p>
    <w:p w14:paraId="65F587B4">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w:t>
      </w:r>
      <w:r>
        <w:rPr>
          <w:rFonts w:hint="eastAsia" w:ascii="宋体" w:hAnsi="宋体" w:eastAsia="宋体" w:cs="宋体"/>
          <w:sz w:val="24"/>
          <w:szCs w:val="24"/>
          <w:lang w:eastAsia="zh-CN"/>
        </w:rPr>
        <w:t>、</w:t>
      </w:r>
      <w:r>
        <w:rPr>
          <w:rFonts w:hint="eastAsia" w:ascii="宋体" w:hAnsi="宋体" w:eastAsia="宋体" w:cs="宋体"/>
          <w:sz w:val="24"/>
          <w:szCs w:val="24"/>
        </w:rPr>
        <w:t>是否可采购进口产品：否</w:t>
      </w:r>
    </w:p>
    <w:p w14:paraId="395D02FB">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w:t>
      </w:r>
      <w:r>
        <w:rPr>
          <w:rFonts w:hint="eastAsia" w:ascii="宋体" w:hAnsi="宋体" w:eastAsia="宋体" w:cs="宋体"/>
          <w:sz w:val="24"/>
          <w:szCs w:val="24"/>
          <w:lang w:eastAsia="zh-CN"/>
        </w:rPr>
        <w:t>、</w:t>
      </w:r>
      <w:r>
        <w:rPr>
          <w:rFonts w:hint="eastAsia" w:ascii="宋体" w:hAnsi="宋体" w:eastAsia="宋体" w:cs="宋体"/>
          <w:sz w:val="24"/>
          <w:szCs w:val="24"/>
        </w:rPr>
        <w:t>本项目（是/否）接受合同分包：否</w:t>
      </w:r>
    </w:p>
    <w:p w14:paraId="4AA60226">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w:t>
      </w:r>
      <w:r>
        <w:rPr>
          <w:rFonts w:hint="eastAsia" w:ascii="宋体" w:hAnsi="宋体" w:eastAsia="宋体" w:cs="宋体"/>
          <w:sz w:val="24"/>
          <w:szCs w:val="24"/>
          <w:lang w:eastAsia="zh-CN"/>
        </w:rPr>
        <w:t>、</w:t>
      </w:r>
      <w:r>
        <w:rPr>
          <w:rFonts w:hint="eastAsia" w:ascii="宋体" w:hAnsi="宋体" w:eastAsia="宋体" w:cs="宋体"/>
          <w:sz w:val="24"/>
          <w:szCs w:val="24"/>
        </w:rPr>
        <w:t>本项目（是/否）专门面向中小微企业：是</w:t>
      </w:r>
    </w:p>
    <w:p w14:paraId="038B9F13">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w:t>
      </w:r>
      <w:r>
        <w:rPr>
          <w:rFonts w:hint="eastAsia" w:ascii="宋体" w:hAnsi="宋体" w:eastAsia="宋体" w:cs="宋体"/>
          <w:sz w:val="24"/>
          <w:szCs w:val="24"/>
          <w:lang w:eastAsia="zh-CN"/>
        </w:rPr>
        <w:t>、</w:t>
      </w:r>
      <w:r>
        <w:rPr>
          <w:rFonts w:hint="eastAsia" w:ascii="宋体" w:hAnsi="宋体" w:eastAsia="宋体" w:cs="宋体"/>
          <w:sz w:val="24"/>
          <w:szCs w:val="24"/>
        </w:rPr>
        <w:t>面向中小微企业的类型为：中小微企业</w:t>
      </w:r>
    </w:p>
    <w:p w14:paraId="58F85B49">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b/>
          <w:sz w:val="24"/>
          <w:szCs w:val="24"/>
          <w:lang w:eastAsia="zh-CN"/>
        </w:rPr>
      </w:pPr>
      <w:bookmarkStart w:id="7" w:name="_Toc109899941"/>
      <w:bookmarkStart w:id="8" w:name="_Toc109900360"/>
      <w:bookmarkStart w:id="9" w:name="_Toc109899522"/>
      <w:bookmarkStart w:id="10" w:name="_Toc109897423"/>
      <w:r>
        <w:rPr>
          <w:rFonts w:hint="eastAsia" w:ascii="宋体" w:hAnsi="宋体" w:eastAsia="宋体" w:cs="宋体"/>
          <w:b/>
          <w:sz w:val="24"/>
          <w:szCs w:val="24"/>
        </w:rPr>
        <w:t>二、申请人的资格要求</w:t>
      </w:r>
      <w:bookmarkEnd w:id="7"/>
      <w:bookmarkEnd w:id="8"/>
      <w:bookmarkEnd w:id="9"/>
      <w:bookmarkEnd w:id="10"/>
      <w:r>
        <w:rPr>
          <w:rFonts w:hint="eastAsia" w:ascii="宋体" w:hAnsi="宋体" w:eastAsia="宋体" w:cs="宋体"/>
          <w:b/>
          <w:sz w:val="24"/>
          <w:szCs w:val="24"/>
          <w:lang w:eastAsia="zh-CN"/>
        </w:rPr>
        <w:t>：</w:t>
      </w:r>
    </w:p>
    <w:p w14:paraId="4CA3722F">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满足《中华人民共和国政府采购法》第二十二条规定，即：</w:t>
      </w:r>
    </w:p>
    <w:p w14:paraId="08DCC692">
      <w:pPr>
        <w:pStyle w:val="39"/>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具有独立承担民事责任的能力；</w:t>
      </w:r>
    </w:p>
    <w:p w14:paraId="4C3A8B39">
      <w:pPr>
        <w:pStyle w:val="39"/>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具有良好的商业信誉和健全的财务会计制度；</w:t>
      </w:r>
    </w:p>
    <w:p w14:paraId="422FD9F3">
      <w:pPr>
        <w:pStyle w:val="39"/>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具有履行合同所必需的设备和专业技术能力；</w:t>
      </w:r>
    </w:p>
    <w:p w14:paraId="63AC7F0F">
      <w:pPr>
        <w:pStyle w:val="39"/>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有依法缴纳税收和社会保障资金的良好记录；</w:t>
      </w:r>
    </w:p>
    <w:p w14:paraId="584D0563">
      <w:pPr>
        <w:pStyle w:val="39"/>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参加政府采购活动前三年内，在经营活动中没有重大违法记录；</w:t>
      </w:r>
    </w:p>
    <w:p w14:paraId="1660AECD">
      <w:pPr>
        <w:pStyle w:val="39"/>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法律、行政法规规定的其他条件。</w:t>
      </w:r>
    </w:p>
    <w:p w14:paraId="0A369A45">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单位负责人为同一人或者存在直接控股、管理关系的不同投标人，不得参加 本项目同一合同项下的政府采购活动。</w:t>
      </w:r>
    </w:p>
    <w:p w14:paraId="32C6AC8B">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w:t>
      </w:r>
      <w:r>
        <w:rPr>
          <w:rFonts w:hint="eastAsia" w:ascii="宋体" w:hAnsi="宋体" w:eastAsia="宋体" w:cs="宋体"/>
          <w:sz w:val="24"/>
          <w:szCs w:val="24"/>
        </w:rPr>
        <w:t>为本采购项目提供整体设计、规范编制或者项目管理、监理、检测等服务 的，不得再参加本项目的其他招标采购活动。</w:t>
      </w:r>
    </w:p>
    <w:p w14:paraId="2D371972">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eastAsia="zh-CN"/>
        </w:rPr>
        <w:t>、</w:t>
      </w:r>
      <w:r>
        <w:rPr>
          <w:rFonts w:hint="eastAsia" w:ascii="宋体" w:hAnsi="宋体" w:eastAsia="宋体" w:cs="宋体"/>
          <w:sz w:val="24"/>
          <w:szCs w:val="24"/>
        </w:rPr>
        <w:t>未被列入失信被执行人、重大税收违法失信主体，未被列入政府采购严重违法失信行为记录名单。</w:t>
      </w:r>
    </w:p>
    <w:p w14:paraId="1D84FBE4">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bookmarkStart w:id="11" w:name="_Hlk89807755"/>
      <w:r>
        <w:rPr>
          <w:rFonts w:hint="eastAsia" w:ascii="宋体" w:hAnsi="宋体" w:eastAsia="宋体" w:cs="宋体"/>
          <w:sz w:val="24"/>
          <w:szCs w:val="24"/>
        </w:rPr>
        <w:t>5</w:t>
      </w:r>
      <w:r>
        <w:rPr>
          <w:rFonts w:hint="eastAsia" w:ascii="宋体" w:hAnsi="宋体" w:eastAsia="宋体" w:cs="宋体"/>
          <w:sz w:val="24"/>
          <w:szCs w:val="24"/>
          <w:lang w:eastAsia="zh-CN"/>
        </w:rPr>
        <w:t>、</w:t>
      </w:r>
      <w:r>
        <w:rPr>
          <w:rFonts w:hint="eastAsia" w:ascii="宋体" w:hAnsi="宋体" w:eastAsia="宋体" w:cs="宋体"/>
          <w:sz w:val="24"/>
          <w:szCs w:val="24"/>
        </w:rPr>
        <w:t>落实政府采购政策需满足的资格要求：</w:t>
      </w:r>
    </w:p>
    <w:p w14:paraId="175BCB90">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napToGrid w:val="0"/>
          <w:kern w:val="0"/>
          <w:sz w:val="24"/>
          <w:szCs w:val="24"/>
        </w:rPr>
      </w:pPr>
      <w:r>
        <w:rPr>
          <w:rFonts w:hint="eastAsia" w:ascii="宋体" w:hAnsi="宋体" w:eastAsia="宋体" w:cs="宋体"/>
          <w:snapToGrid w:val="0"/>
          <w:kern w:val="0"/>
          <w:sz w:val="24"/>
          <w:szCs w:val="24"/>
        </w:rPr>
        <w:t>（1）中小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企业政策：本政府采购项目是专门面向中小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w:t>
      </w:r>
      <w:r>
        <w:rPr>
          <w:rFonts w:hint="eastAsia" w:ascii="宋体" w:hAnsi="宋体" w:eastAsia="宋体" w:cs="宋体"/>
          <w:snapToGrid w:val="0"/>
          <w:kern w:val="0"/>
          <w:sz w:val="24"/>
          <w:szCs w:val="24"/>
          <w:lang w:eastAsia="zh-CN"/>
        </w:rPr>
        <w:t>，</w:t>
      </w:r>
      <w:r>
        <w:rPr>
          <w:rFonts w:hint="eastAsia" w:ascii="宋体" w:hAnsi="宋体" w:eastAsia="宋体" w:cs="宋体"/>
          <w:snapToGrid w:val="0"/>
          <w:kern w:val="0"/>
          <w:sz w:val="24"/>
          <w:szCs w:val="24"/>
        </w:rPr>
        <w:t>本项目企业划分标准所属行业为“</w:t>
      </w:r>
      <w:r>
        <w:rPr>
          <w:rFonts w:hint="eastAsia" w:ascii="宋体" w:hAnsi="宋体" w:eastAsia="宋体" w:cs="宋体"/>
          <w:color w:val="000000" w:themeColor="text1"/>
          <w:sz w:val="24"/>
          <w:szCs w:val="24"/>
          <w14:textFill>
            <w14:solidFill>
              <w14:schemeClr w14:val="tx1"/>
            </w14:solidFill>
          </w14:textFill>
        </w:rPr>
        <w:t>农、林、牧、渔业</w:t>
      </w:r>
      <w:r>
        <w:rPr>
          <w:rFonts w:hint="eastAsia" w:ascii="宋体" w:hAnsi="宋体" w:eastAsia="宋体" w:cs="宋体"/>
          <w:snapToGrid w:val="0"/>
          <w:kern w:val="0"/>
          <w:sz w:val="24"/>
          <w:szCs w:val="24"/>
        </w:rPr>
        <w:t>”（提供的服务应全部由符合政策要求的中小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企业承接，供应商需提供相应中小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企业声明函）。</w:t>
      </w:r>
    </w:p>
    <w:p w14:paraId="044CE972">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napToGrid w:val="0"/>
          <w:kern w:val="0"/>
          <w:sz w:val="24"/>
          <w:szCs w:val="24"/>
        </w:rPr>
        <w:t>（2）其他落实政府采购政策的资格要求：落实政府采购强制、优先采购节能产品政策；政府采购优先采购环保产品政策；政府采购促进中小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企业发展（监狱企业、残疾人福利性单位视同小微企业）等政策。</w:t>
      </w:r>
    </w:p>
    <w:p w14:paraId="20959EB9">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w:t>
      </w:r>
      <w:r>
        <w:rPr>
          <w:rFonts w:hint="eastAsia" w:ascii="宋体" w:hAnsi="宋体" w:eastAsia="宋体" w:cs="宋体"/>
          <w:sz w:val="24"/>
          <w:szCs w:val="24"/>
          <w:lang w:eastAsia="zh-CN"/>
        </w:rPr>
        <w:t>、</w:t>
      </w:r>
      <w:r>
        <w:rPr>
          <w:rFonts w:hint="eastAsia" w:ascii="宋体" w:hAnsi="宋体" w:eastAsia="宋体" w:cs="宋体"/>
          <w:sz w:val="24"/>
          <w:szCs w:val="24"/>
        </w:rPr>
        <w:t>特定资格要求：</w:t>
      </w:r>
      <w:r>
        <w:rPr>
          <w:rFonts w:hint="eastAsia" w:ascii="宋体" w:hAnsi="宋体" w:eastAsia="宋体" w:cs="宋体"/>
          <w:color w:val="auto"/>
          <w:sz w:val="24"/>
          <w:szCs w:val="24"/>
          <w:lang w:val="en-US" w:eastAsia="zh-CN"/>
        </w:rPr>
        <w:t>供应商须具有有效的营业执照，具有林业有害生物防治相关经营范围。</w:t>
      </w:r>
    </w:p>
    <w:bookmarkEnd w:id="11"/>
    <w:p w14:paraId="60BEFCCA">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b/>
          <w:sz w:val="24"/>
          <w:szCs w:val="24"/>
          <w:lang w:eastAsia="zh-CN"/>
        </w:rPr>
      </w:pPr>
      <w:bookmarkStart w:id="12" w:name="_Toc109897424"/>
      <w:bookmarkStart w:id="13" w:name="_Toc109899523"/>
      <w:bookmarkStart w:id="14" w:name="_Toc109900361"/>
      <w:bookmarkStart w:id="15" w:name="_Toc109899942"/>
      <w:r>
        <w:rPr>
          <w:rFonts w:hint="eastAsia" w:ascii="宋体" w:hAnsi="宋体" w:eastAsia="宋体" w:cs="宋体"/>
          <w:b/>
          <w:sz w:val="24"/>
          <w:szCs w:val="24"/>
        </w:rPr>
        <w:t>三、获取采购文件</w:t>
      </w:r>
      <w:bookmarkEnd w:id="12"/>
      <w:bookmarkEnd w:id="13"/>
      <w:bookmarkEnd w:id="14"/>
      <w:bookmarkEnd w:id="15"/>
      <w:r>
        <w:rPr>
          <w:rFonts w:hint="eastAsia" w:ascii="宋体" w:hAnsi="宋体" w:eastAsia="宋体" w:cs="宋体"/>
          <w:b/>
          <w:sz w:val="24"/>
          <w:szCs w:val="24"/>
          <w:lang w:eastAsia="zh-CN"/>
        </w:rPr>
        <w:t>：</w:t>
      </w:r>
    </w:p>
    <w:p w14:paraId="67140674">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lang w:val="hr-HR"/>
        </w:rPr>
      </w:pPr>
      <w:bookmarkStart w:id="16" w:name="_Hlk130457234"/>
      <w:bookmarkStart w:id="17" w:name="_Hlk130457327"/>
      <w:bookmarkStart w:id="18" w:name="_Toc28359092"/>
      <w:bookmarkStart w:id="19" w:name="_Toc28359015"/>
      <w:bookmarkStart w:id="20" w:name="_Toc35393632"/>
      <w:bookmarkStart w:id="21" w:name="_Toc35393801"/>
      <w:r>
        <w:rPr>
          <w:rFonts w:hint="eastAsia" w:ascii="宋体" w:hAnsi="宋体" w:eastAsia="宋体" w:cs="宋体"/>
          <w:sz w:val="24"/>
          <w:szCs w:val="24"/>
          <w:lang w:val="hr-HR"/>
        </w:rPr>
        <w:t>1</w:t>
      </w:r>
      <w:r>
        <w:rPr>
          <w:rFonts w:hint="eastAsia" w:ascii="宋体" w:hAnsi="宋体" w:eastAsia="宋体" w:cs="宋体"/>
          <w:sz w:val="24"/>
          <w:szCs w:val="24"/>
          <w:lang w:val="hr-HR" w:eastAsia="zh-CN"/>
        </w:rPr>
        <w:t>、</w:t>
      </w:r>
      <w:r>
        <w:rPr>
          <w:rFonts w:hint="eastAsia" w:ascii="宋体" w:hAnsi="宋体" w:eastAsia="宋体" w:cs="宋体"/>
          <w:sz w:val="24"/>
          <w:szCs w:val="24"/>
          <w:lang w:val="hr-HR"/>
        </w:rPr>
        <w:t>时间：</w:t>
      </w:r>
      <w:r>
        <w:rPr>
          <w:rFonts w:hint="eastAsia" w:ascii="宋体" w:hAnsi="宋体" w:eastAsia="宋体" w:cs="宋体"/>
          <w:sz w:val="24"/>
          <w:szCs w:val="24"/>
          <w:lang w:eastAsia="zh-CN"/>
        </w:rPr>
        <w:t>2026</w:t>
      </w:r>
      <w:r>
        <w:rPr>
          <w:rFonts w:hint="eastAsia" w:ascii="宋体" w:hAnsi="宋体" w:eastAsia="宋体" w:cs="宋体"/>
          <w:sz w:val="24"/>
          <w:szCs w:val="24"/>
        </w:rPr>
        <w:t>年</w:t>
      </w:r>
      <w:r>
        <w:rPr>
          <w:rFonts w:hint="eastAsia" w:ascii="宋体" w:hAnsi="宋体" w:eastAsia="宋体" w:cs="宋体"/>
          <w:sz w:val="24"/>
          <w:szCs w:val="24"/>
          <w:lang w:val="en-US" w:eastAsia="zh-CN"/>
        </w:rPr>
        <w:t>4</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r>
        <w:rPr>
          <w:rFonts w:hint="eastAsia" w:ascii="宋体" w:hAnsi="宋体" w:eastAsia="宋体" w:cs="宋体"/>
          <w:sz w:val="24"/>
          <w:szCs w:val="24"/>
          <w:lang w:val="hr-HR"/>
        </w:rPr>
        <w:t>至</w:t>
      </w:r>
      <w:r>
        <w:rPr>
          <w:rFonts w:hint="eastAsia" w:ascii="宋体" w:hAnsi="宋体" w:eastAsia="宋体" w:cs="宋体"/>
          <w:sz w:val="24"/>
          <w:szCs w:val="24"/>
          <w:lang w:val="hr-HR" w:eastAsia="zh-CN"/>
        </w:rPr>
        <w:t>2026</w:t>
      </w:r>
      <w:r>
        <w:rPr>
          <w:rFonts w:hint="eastAsia" w:ascii="宋体" w:hAnsi="宋体" w:eastAsia="宋体" w:cs="宋体"/>
          <w:sz w:val="24"/>
          <w:szCs w:val="24"/>
        </w:rPr>
        <w:t>年</w:t>
      </w:r>
      <w:r>
        <w:rPr>
          <w:rFonts w:hint="eastAsia" w:ascii="宋体" w:hAnsi="宋体" w:eastAsia="宋体" w:cs="宋体"/>
          <w:sz w:val="24"/>
          <w:szCs w:val="24"/>
          <w:lang w:val="en-US" w:eastAsia="zh-CN"/>
        </w:rPr>
        <w:t>4</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日，每天</w:t>
      </w:r>
      <w:r>
        <w:rPr>
          <w:rFonts w:hint="eastAsia" w:ascii="宋体" w:hAnsi="宋体" w:eastAsia="宋体" w:cs="宋体"/>
          <w:sz w:val="24"/>
          <w:szCs w:val="24"/>
          <w:lang w:val="en-US" w:eastAsia="zh-CN"/>
        </w:rPr>
        <w:t>8</w:t>
      </w:r>
      <w:r>
        <w:rPr>
          <w:rFonts w:hint="eastAsia" w:ascii="宋体" w:hAnsi="宋体" w:eastAsia="宋体" w:cs="宋体"/>
          <w:sz w:val="24"/>
          <w:szCs w:val="24"/>
        </w:rPr>
        <w:t>:00至1</w:t>
      </w:r>
      <w:r>
        <w:rPr>
          <w:rFonts w:hint="eastAsia" w:ascii="宋体" w:hAnsi="宋体" w:eastAsia="宋体" w:cs="宋体"/>
          <w:sz w:val="24"/>
          <w:szCs w:val="24"/>
          <w:lang w:val="en-US" w:eastAsia="zh-CN"/>
        </w:rPr>
        <w:t>7</w:t>
      </w:r>
      <w:r>
        <w:rPr>
          <w:rFonts w:hint="eastAsia" w:ascii="宋体" w:hAnsi="宋体" w:eastAsia="宋体" w:cs="宋体"/>
          <w:sz w:val="24"/>
          <w:szCs w:val="24"/>
        </w:rPr>
        <w:t>:00（北京时间，法定节假日除外）</w:t>
      </w:r>
      <w:r>
        <w:rPr>
          <w:rFonts w:hint="eastAsia" w:ascii="宋体" w:hAnsi="宋体" w:eastAsia="宋体" w:cs="宋体"/>
          <w:sz w:val="24"/>
          <w:szCs w:val="24"/>
          <w:lang w:val="hr-HR"/>
        </w:rPr>
        <w:t>。</w:t>
      </w:r>
    </w:p>
    <w:bookmarkEnd w:id="16"/>
    <w:p w14:paraId="622FFF24">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lang w:val="hr-HR"/>
        </w:rPr>
      </w:pPr>
      <w:bookmarkStart w:id="22" w:name="_Hlk130457261"/>
      <w:r>
        <w:rPr>
          <w:rFonts w:hint="eastAsia" w:ascii="宋体" w:hAnsi="宋体" w:eastAsia="宋体" w:cs="宋体"/>
          <w:sz w:val="24"/>
          <w:szCs w:val="24"/>
          <w:lang w:val="hr-HR"/>
        </w:rPr>
        <w:t>2</w:t>
      </w:r>
      <w:r>
        <w:rPr>
          <w:rFonts w:hint="eastAsia" w:ascii="宋体" w:hAnsi="宋体" w:eastAsia="宋体" w:cs="宋体"/>
          <w:sz w:val="24"/>
          <w:szCs w:val="24"/>
          <w:lang w:val="hr-HR" w:eastAsia="zh-CN"/>
        </w:rPr>
        <w:t>、</w:t>
      </w:r>
      <w:r>
        <w:rPr>
          <w:rFonts w:hint="eastAsia" w:ascii="宋体" w:hAnsi="宋体" w:eastAsia="宋体" w:cs="宋体"/>
          <w:sz w:val="24"/>
          <w:szCs w:val="24"/>
        </w:rPr>
        <w:t>地点</w:t>
      </w:r>
      <w:r>
        <w:rPr>
          <w:rFonts w:hint="eastAsia" w:ascii="宋体" w:hAnsi="宋体" w:eastAsia="宋体" w:cs="宋体"/>
          <w:sz w:val="24"/>
          <w:szCs w:val="24"/>
          <w:lang w:val="hr-HR"/>
        </w:rPr>
        <w:t>：</w:t>
      </w:r>
      <w:bookmarkStart w:id="23" w:name="_Hlk89807779"/>
      <w:r>
        <w:rPr>
          <w:rFonts w:hint="eastAsia" w:ascii="宋体" w:hAnsi="宋体" w:eastAsia="宋体" w:cs="宋体"/>
          <w:sz w:val="24"/>
          <w:szCs w:val="24"/>
        </w:rPr>
        <w:t>湖北省政府采购电子交易数据汇聚平台</w:t>
      </w:r>
      <w:r>
        <w:rPr>
          <w:rFonts w:hint="eastAsia" w:ascii="宋体" w:hAnsi="宋体" w:eastAsia="宋体" w:cs="宋体"/>
          <w:sz w:val="24"/>
          <w:szCs w:val="24"/>
          <w:lang w:val="hr-HR"/>
        </w:rPr>
        <w:t>（</w:t>
      </w:r>
      <w:r>
        <w:rPr>
          <w:rFonts w:hint="eastAsia" w:ascii="宋体" w:hAnsi="宋体" w:eastAsia="宋体" w:cs="宋体"/>
          <w:sz w:val="24"/>
          <w:szCs w:val="24"/>
        </w:rPr>
        <w:t>网址</w:t>
      </w:r>
      <w:r>
        <w:rPr>
          <w:rFonts w:hint="eastAsia" w:ascii="宋体" w:hAnsi="宋体" w:eastAsia="宋体" w:cs="宋体"/>
          <w:sz w:val="24"/>
          <w:szCs w:val="24"/>
          <w:lang w:val="hr-HR"/>
        </w:rPr>
        <w:t>：https://czt.hubei.gov.cn/zchj/user）</w:t>
      </w:r>
      <w:r>
        <w:rPr>
          <w:rFonts w:hint="eastAsia" w:ascii="宋体" w:hAnsi="宋体" w:eastAsia="宋体" w:cs="宋体"/>
          <w:sz w:val="24"/>
          <w:szCs w:val="24"/>
        </w:rPr>
        <w:t>或一毂清风投标人客户端。</w:t>
      </w:r>
      <w:bookmarkEnd w:id="23"/>
      <w:r>
        <w:rPr>
          <w:rFonts w:hint="eastAsia" w:ascii="宋体" w:hAnsi="宋体" w:eastAsia="宋体" w:cs="宋体"/>
          <w:iCs/>
          <w:sz w:val="24"/>
          <w:szCs w:val="24"/>
          <w:shd w:val="clear" w:color="auto" w:fill="FFFFFF" w:themeFill="background1"/>
          <w:lang w:val="hr-HR"/>
        </w:rPr>
        <w:t>供应商</w:t>
      </w:r>
      <w:r>
        <w:rPr>
          <w:rFonts w:hint="eastAsia" w:ascii="宋体" w:hAnsi="宋体" w:eastAsia="宋体" w:cs="宋体"/>
          <w:iCs/>
          <w:sz w:val="24"/>
          <w:szCs w:val="24"/>
          <w:shd w:val="clear" w:color="auto" w:fill="FFFFFF" w:themeFill="background1"/>
        </w:rPr>
        <w:t>需提前</w:t>
      </w:r>
      <w:r>
        <w:rPr>
          <w:rFonts w:hint="eastAsia" w:ascii="宋体" w:hAnsi="宋体" w:eastAsia="宋体" w:cs="宋体"/>
          <w:iCs/>
          <w:sz w:val="24"/>
          <w:szCs w:val="24"/>
          <w:shd w:val="clear" w:color="auto" w:fill="FFFFFF" w:themeFill="background1"/>
          <w:lang w:val="hr-HR"/>
        </w:rPr>
        <w:t>在湖北省政府采购电子交易数据汇聚平台用户服务中心完成</w:t>
      </w:r>
      <w:r>
        <w:rPr>
          <w:rFonts w:hint="eastAsia" w:ascii="宋体" w:hAnsi="宋体" w:eastAsia="宋体" w:cs="宋体"/>
          <w:iCs/>
          <w:sz w:val="24"/>
          <w:szCs w:val="24"/>
          <w:shd w:val="clear" w:color="auto" w:fill="FFFFFF" w:themeFill="background1"/>
        </w:rPr>
        <w:t>机构</w:t>
      </w:r>
      <w:r>
        <w:rPr>
          <w:rFonts w:hint="eastAsia" w:ascii="宋体" w:hAnsi="宋体" w:eastAsia="宋体" w:cs="宋体"/>
          <w:iCs/>
          <w:sz w:val="24"/>
          <w:szCs w:val="24"/>
          <w:shd w:val="clear" w:color="auto" w:fill="FFFFFF" w:themeFill="background1"/>
          <w:lang w:val="hr-HR"/>
        </w:rPr>
        <w:t>注册</w:t>
      </w:r>
      <w:r>
        <w:rPr>
          <w:rFonts w:hint="eastAsia" w:ascii="宋体" w:hAnsi="宋体" w:eastAsia="宋体" w:cs="宋体"/>
          <w:iCs/>
          <w:sz w:val="24"/>
          <w:szCs w:val="24"/>
          <w:shd w:val="clear" w:color="auto" w:fill="FFFFFF" w:themeFill="background1"/>
        </w:rPr>
        <w:t>并办</w:t>
      </w:r>
      <w:r>
        <w:rPr>
          <w:rFonts w:hint="eastAsia" w:ascii="宋体" w:hAnsi="宋体" w:eastAsia="宋体" w:cs="宋体"/>
          <w:iCs/>
          <w:sz w:val="24"/>
          <w:szCs w:val="24"/>
          <w:shd w:val="clear" w:color="auto" w:fill="FFFFFF" w:themeFill="background1"/>
          <w:lang w:val="hr-HR"/>
        </w:rPr>
        <w:t>理</w:t>
      </w:r>
      <w:r>
        <w:rPr>
          <w:rFonts w:hint="eastAsia" w:ascii="宋体" w:hAnsi="宋体" w:eastAsia="宋体" w:cs="宋体"/>
          <w:iCs/>
          <w:sz w:val="24"/>
          <w:szCs w:val="24"/>
          <w:shd w:val="clear" w:color="auto" w:fill="FFFFFF" w:themeFill="background1"/>
        </w:rPr>
        <w:t>汇聚</w:t>
      </w:r>
      <w:r>
        <w:rPr>
          <w:rFonts w:hint="eastAsia" w:ascii="宋体" w:hAnsi="宋体" w:eastAsia="宋体" w:cs="宋体"/>
          <w:iCs/>
          <w:sz w:val="24"/>
          <w:szCs w:val="24"/>
          <w:shd w:val="clear" w:color="auto" w:fill="FFFFFF" w:themeFill="background1"/>
          <w:lang w:val="hr-HR"/>
        </w:rPr>
        <w:t>CA</w:t>
      </w:r>
      <w:r>
        <w:rPr>
          <w:rFonts w:hint="eastAsia" w:ascii="宋体" w:hAnsi="宋体" w:eastAsia="宋体" w:cs="宋体"/>
          <w:iCs/>
          <w:sz w:val="24"/>
          <w:szCs w:val="24"/>
          <w:shd w:val="clear" w:color="auto" w:fill="FFFFFF" w:themeFill="background1"/>
        </w:rPr>
        <w:t>与绑定CA后</w:t>
      </w:r>
      <w:r>
        <w:rPr>
          <w:rFonts w:hint="eastAsia" w:ascii="宋体" w:hAnsi="宋体" w:eastAsia="宋体" w:cs="宋体"/>
          <w:iCs/>
          <w:sz w:val="24"/>
          <w:szCs w:val="24"/>
          <w:shd w:val="clear" w:color="auto" w:fill="FFFFFF" w:themeFill="background1"/>
          <w:lang w:val="hr-HR"/>
        </w:rPr>
        <w:t>，方可</w:t>
      </w:r>
      <w:r>
        <w:rPr>
          <w:rFonts w:hint="eastAsia" w:ascii="宋体" w:hAnsi="宋体" w:eastAsia="宋体" w:cs="宋体"/>
          <w:iCs/>
          <w:sz w:val="24"/>
          <w:szCs w:val="24"/>
          <w:shd w:val="clear" w:color="auto" w:fill="FFFFFF" w:themeFill="background1"/>
        </w:rPr>
        <w:t>报名</w:t>
      </w:r>
      <w:r>
        <w:rPr>
          <w:rFonts w:hint="eastAsia" w:ascii="宋体" w:hAnsi="宋体" w:eastAsia="宋体" w:cs="宋体"/>
          <w:iCs/>
          <w:sz w:val="24"/>
          <w:szCs w:val="24"/>
          <w:shd w:val="clear" w:color="auto" w:fill="FFFFFF" w:themeFill="background1"/>
          <w:lang w:val="hr-HR"/>
        </w:rPr>
        <w:t>本项目</w:t>
      </w:r>
      <w:r>
        <w:rPr>
          <w:rFonts w:hint="eastAsia" w:ascii="宋体" w:hAnsi="宋体" w:eastAsia="宋体" w:cs="宋体"/>
          <w:iCs/>
          <w:sz w:val="24"/>
          <w:szCs w:val="24"/>
          <w:shd w:val="clear" w:color="auto" w:fill="FFFFFF" w:themeFill="background1"/>
        </w:rPr>
        <w:t>并下载</w:t>
      </w:r>
      <w:r>
        <w:rPr>
          <w:rFonts w:hint="eastAsia" w:ascii="宋体" w:hAnsi="宋体" w:eastAsia="宋体" w:cs="宋体"/>
          <w:iCs/>
          <w:sz w:val="24"/>
          <w:szCs w:val="24"/>
          <w:shd w:val="clear" w:color="auto" w:fill="FFFFFF" w:themeFill="background1"/>
          <w:lang w:val="hr-HR"/>
        </w:rPr>
        <w:t>采购文件。</w:t>
      </w:r>
    </w:p>
    <w:p w14:paraId="5D12F377">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w:t>
      </w:r>
      <w:r>
        <w:rPr>
          <w:rFonts w:hint="eastAsia" w:ascii="宋体" w:hAnsi="宋体" w:eastAsia="宋体" w:cs="宋体"/>
          <w:sz w:val="24"/>
          <w:szCs w:val="24"/>
        </w:rPr>
        <w:t>方式：</w:t>
      </w:r>
      <w:bookmarkEnd w:id="17"/>
      <w:bookmarkEnd w:id="18"/>
      <w:bookmarkEnd w:id="19"/>
      <w:bookmarkEnd w:id="20"/>
      <w:bookmarkEnd w:id="21"/>
      <w:bookmarkEnd w:id="22"/>
    </w:p>
    <w:p w14:paraId="46B7B4EF">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（1）供应商在汇聚平台注册账户</w:t>
      </w:r>
      <w:r>
        <w:rPr>
          <w:rFonts w:hint="eastAsia" w:ascii="宋体" w:hAnsi="宋体" w:eastAsia="宋体" w:cs="宋体"/>
          <w:sz w:val="24"/>
          <w:szCs w:val="24"/>
          <w:lang w:eastAsia="zh-CN"/>
        </w:rPr>
        <w:t>登录</w:t>
      </w:r>
      <w:r>
        <w:rPr>
          <w:rFonts w:hint="eastAsia" w:ascii="宋体" w:hAnsi="宋体" w:eastAsia="宋体" w:cs="宋体"/>
          <w:sz w:val="24"/>
          <w:szCs w:val="24"/>
        </w:rPr>
        <w:t>后绑定汇聚CA，在首页供应商投标客户端板块，点击“前往下载”，选择一毂清风投标人客户端进行下载安装；</w:t>
      </w:r>
    </w:p>
    <w:p w14:paraId="2E81811F">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（2）供应商登录一毂清风投标人客户端选择项目包段进行报名，并在规定时间内下载采购文件；</w:t>
      </w:r>
    </w:p>
    <w:p w14:paraId="66309F52">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lang w:val="zh-CN"/>
        </w:rPr>
      </w:pPr>
      <w:r>
        <w:rPr>
          <w:rFonts w:hint="eastAsia" w:ascii="宋体" w:hAnsi="宋体" w:eastAsia="宋体" w:cs="宋体"/>
          <w:sz w:val="24"/>
          <w:szCs w:val="24"/>
        </w:rPr>
        <w:t>（3）供应商办理汇聚 CA相关事宜可咨询:400-112-9919，13367130583，请供应商提前获取投标人客户端操作手册，熟悉客户端操作流程。相关事宜可咨询客服QQ：800182906。</w:t>
      </w:r>
    </w:p>
    <w:p w14:paraId="2188C99C">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b/>
          <w:sz w:val="24"/>
          <w:szCs w:val="24"/>
          <w:lang w:eastAsia="zh-CN"/>
        </w:rPr>
      </w:pPr>
      <w:r>
        <w:rPr>
          <w:rFonts w:hint="eastAsia" w:ascii="宋体" w:hAnsi="宋体" w:eastAsia="宋体" w:cs="宋体"/>
          <w:b/>
          <w:sz w:val="24"/>
          <w:szCs w:val="24"/>
        </w:rPr>
        <w:t>四、响应文件提交</w:t>
      </w:r>
      <w:r>
        <w:rPr>
          <w:rFonts w:hint="eastAsia" w:ascii="宋体" w:hAnsi="宋体" w:eastAsia="宋体" w:cs="宋体"/>
          <w:b/>
          <w:sz w:val="24"/>
          <w:szCs w:val="24"/>
          <w:lang w:eastAsia="zh-CN"/>
        </w:rPr>
        <w:t>：</w:t>
      </w:r>
    </w:p>
    <w:p w14:paraId="42169D89">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lang w:val="hr-HR" w:eastAsia="zh-CN"/>
        </w:rPr>
      </w:pPr>
      <w:bookmarkStart w:id="24" w:name="_Toc109899525"/>
      <w:bookmarkStart w:id="25" w:name="_Toc109900363"/>
      <w:bookmarkStart w:id="26" w:name="_Toc109897426"/>
      <w:bookmarkStart w:id="27" w:name="_Toc109899944"/>
      <w:bookmarkStart w:id="28" w:name="_Toc28359093"/>
      <w:bookmarkStart w:id="29" w:name="_Toc28359016"/>
      <w:bookmarkStart w:id="30" w:name="_Toc35393802"/>
      <w:bookmarkStart w:id="31" w:name="_Toc35393633"/>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开始时间：</w:t>
      </w:r>
      <w:r>
        <w:rPr>
          <w:rFonts w:hint="eastAsia" w:ascii="宋体" w:hAnsi="宋体" w:eastAsia="宋体" w:cs="宋体"/>
          <w:sz w:val="24"/>
          <w:szCs w:val="24"/>
          <w:lang w:eastAsia="zh-CN"/>
        </w:rPr>
        <w:t>2026</w:t>
      </w:r>
      <w:r>
        <w:rPr>
          <w:rFonts w:hint="eastAsia" w:ascii="宋体" w:hAnsi="宋体" w:eastAsia="宋体" w:cs="宋体"/>
          <w:sz w:val="24"/>
          <w:szCs w:val="24"/>
        </w:rPr>
        <w:t>年</w:t>
      </w:r>
      <w:r>
        <w:rPr>
          <w:rFonts w:hint="eastAsia" w:ascii="宋体" w:hAnsi="宋体" w:eastAsia="宋体" w:cs="宋体"/>
          <w:sz w:val="24"/>
          <w:szCs w:val="24"/>
          <w:lang w:val="en-US" w:eastAsia="zh-CN"/>
        </w:rPr>
        <w:t>4</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r>
        <w:rPr>
          <w:rFonts w:hint="eastAsia" w:ascii="宋体" w:hAnsi="宋体" w:eastAsia="宋体" w:cs="宋体"/>
          <w:sz w:val="24"/>
          <w:szCs w:val="24"/>
          <w:lang w:val="en-US" w:eastAsia="zh-CN"/>
        </w:rPr>
        <w:t>8</w:t>
      </w:r>
      <w:r>
        <w:rPr>
          <w:rFonts w:hint="eastAsia" w:ascii="宋体" w:hAnsi="宋体" w:eastAsia="宋体" w:cs="宋体"/>
          <w:sz w:val="24"/>
          <w:szCs w:val="24"/>
        </w:rPr>
        <w:t>点00分（北京时间）</w:t>
      </w:r>
      <w:r>
        <w:rPr>
          <w:rFonts w:hint="eastAsia" w:ascii="宋体" w:hAnsi="宋体" w:eastAsia="宋体" w:cs="宋体"/>
          <w:sz w:val="24"/>
          <w:szCs w:val="24"/>
          <w:lang w:eastAsia="zh-CN"/>
        </w:rPr>
        <w:t>。</w:t>
      </w:r>
    </w:p>
    <w:p w14:paraId="56CF9E61">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lang w:val="hr-HR"/>
        </w:rPr>
      </w:pPr>
      <w:r>
        <w:rPr>
          <w:rFonts w:hint="eastAsia" w:ascii="宋体" w:hAnsi="宋体" w:eastAsia="宋体" w:cs="宋体"/>
          <w:sz w:val="24"/>
          <w:szCs w:val="24"/>
          <w:lang w:val="hr-HR"/>
        </w:rPr>
        <w:t>2</w:t>
      </w:r>
      <w:r>
        <w:rPr>
          <w:rFonts w:hint="eastAsia" w:ascii="宋体" w:hAnsi="宋体" w:eastAsia="宋体" w:cs="宋体"/>
          <w:sz w:val="24"/>
          <w:szCs w:val="24"/>
          <w:lang w:val="hr-HR" w:eastAsia="zh-CN"/>
        </w:rPr>
        <w:t>、</w:t>
      </w:r>
      <w:r>
        <w:rPr>
          <w:rFonts w:hint="eastAsia" w:ascii="宋体" w:hAnsi="宋体" w:eastAsia="宋体" w:cs="宋体"/>
          <w:sz w:val="24"/>
          <w:szCs w:val="24"/>
          <w:lang w:val="hr-HR"/>
        </w:rPr>
        <w:t>截止时间：</w:t>
      </w:r>
      <w:r>
        <w:rPr>
          <w:rFonts w:hint="eastAsia" w:ascii="宋体" w:hAnsi="宋体" w:eastAsia="宋体" w:cs="宋体"/>
          <w:sz w:val="24"/>
          <w:szCs w:val="24"/>
          <w:lang w:val="hr-HR" w:eastAsia="zh-CN"/>
        </w:rPr>
        <w:t>2026</w:t>
      </w:r>
      <w:r>
        <w:rPr>
          <w:rFonts w:hint="eastAsia" w:ascii="宋体" w:hAnsi="宋体" w:eastAsia="宋体" w:cs="宋体"/>
          <w:sz w:val="24"/>
          <w:szCs w:val="24"/>
        </w:rPr>
        <w:t>年</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日9时00分</w:t>
      </w:r>
      <w:r>
        <w:rPr>
          <w:rFonts w:hint="eastAsia" w:ascii="宋体" w:hAnsi="宋体" w:eastAsia="宋体" w:cs="宋体"/>
          <w:sz w:val="24"/>
          <w:szCs w:val="24"/>
          <w:lang w:val="hr-HR"/>
        </w:rPr>
        <w:t>（北京时间）。</w:t>
      </w:r>
    </w:p>
    <w:p w14:paraId="13A925E5">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lang w:val="hr-HR"/>
        </w:rPr>
      </w:pPr>
      <w:r>
        <w:rPr>
          <w:rFonts w:hint="eastAsia" w:ascii="宋体" w:hAnsi="宋体" w:eastAsia="宋体" w:cs="宋体"/>
          <w:sz w:val="24"/>
          <w:szCs w:val="24"/>
        </w:rPr>
        <w:t>3</w:t>
      </w:r>
      <w:r>
        <w:rPr>
          <w:rFonts w:hint="eastAsia" w:ascii="宋体" w:hAnsi="宋体" w:eastAsia="宋体" w:cs="宋体"/>
          <w:sz w:val="24"/>
          <w:szCs w:val="24"/>
          <w:lang w:val="hr-HR" w:eastAsia="zh-CN"/>
        </w:rPr>
        <w:t>、</w:t>
      </w:r>
      <w:r>
        <w:rPr>
          <w:rFonts w:hint="eastAsia" w:ascii="宋体" w:hAnsi="宋体" w:eastAsia="宋体" w:cs="宋体"/>
          <w:sz w:val="24"/>
          <w:szCs w:val="24"/>
          <w:lang w:val="hr-HR"/>
        </w:rPr>
        <w:t>地点：</w:t>
      </w:r>
      <w:r>
        <w:rPr>
          <w:rFonts w:hint="eastAsia" w:ascii="宋体" w:hAnsi="宋体" w:eastAsia="宋体" w:cs="宋体"/>
          <w:sz w:val="24"/>
          <w:szCs w:val="24"/>
        </w:rPr>
        <w:t>供应商通过一毂清风投标人客户端选择项目（分包）进入文件递交页面进行递交（上传）。</w:t>
      </w:r>
    </w:p>
    <w:p w14:paraId="33EF8FE8">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b/>
          <w:sz w:val="24"/>
          <w:szCs w:val="24"/>
          <w:lang w:eastAsia="zh-CN"/>
        </w:rPr>
      </w:pPr>
      <w:r>
        <w:rPr>
          <w:rFonts w:hint="eastAsia" w:ascii="宋体" w:hAnsi="宋体" w:eastAsia="宋体" w:cs="宋体"/>
          <w:b/>
          <w:sz w:val="24"/>
          <w:szCs w:val="24"/>
        </w:rPr>
        <w:t>五、开启</w:t>
      </w:r>
      <w:bookmarkEnd w:id="24"/>
      <w:bookmarkEnd w:id="25"/>
      <w:bookmarkEnd w:id="26"/>
      <w:bookmarkEnd w:id="27"/>
      <w:bookmarkEnd w:id="28"/>
      <w:bookmarkEnd w:id="29"/>
      <w:bookmarkEnd w:id="30"/>
      <w:bookmarkEnd w:id="31"/>
      <w:r>
        <w:rPr>
          <w:rFonts w:hint="eastAsia" w:ascii="宋体" w:hAnsi="宋体" w:eastAsia="宋体" w:cs="宋体"/>
          <w:b/>
          <w:sz w:val="24"/>
          <w:szCs w:val="24"/>
          <w:lang w:eastAsia="zh-CN"/>
        </w:rPr>
        <w:t>：</w:t>
      </w:r>
    </w:p>
    <w:p w14:paraId="301FB17E">
      <w:pPr>
        <w:keepNext w:val="0"/>
        <w:keepLines w:val="0"/>
        <w:pageBreakBefore w:val="0"/>
        <w:kinsoku/>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sz w:val="24"/>
          <w:szCs w:val="24"/>
          <w:lang w:val="hr-HR"/>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时间：</w:t>
      </w:r>
      <w:r>
        <w:rPr>
          <w:rFonts w:hint="eastAsia" w:ascii="宋体" w:hAnsi="宋体" w:eastAsia="宋体" w:cs="宋体"/>
          <w:sz w:val="24"/>
          <w:szCs w:val="24"/>
          <w:lang w:eastAsia="zh-CN"/>
        </w:rPr>
        <w:t>2026</w:t>
      </w:r>
      <w:r>
        <w:rPr>
          <w:rFonts w:hint="eastAsia" w:ascii="宋体" w:hAnsi="宋体" w:eastAsia="宋体" w:cs="宋体"/>
          <w:sz w:val="24"/>
          <w:szCs w:val="24"/>
        </w:rPr>
        <w:t>年</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日9时00分</w:t>
      </w:r>
      <w:r>
        <w:rPr>
          <w:rFonts w:hint="eastAsia" w:ascii="宋体" w:hAnsi="宋体" w:eastAsia="宋体" w:cs="宋体"/>
          <w:sz w:val="24"/>
          <w:szCs w:val="24"/>
          <w:lang w:val="hr-HR"/>
        </w:rPr>
        <w:t>（北京时间）。</w:t>
      </w:r>
    </w:p>
    <w:p w14:paraId="0C382DB3">
      <w:pPr>
        <w:keepNext w:val="0"/>
        <w:keepLines w:val="0"/>
        <w:pageBreakBefore w:val="0"/>
        <w:kinsoku/>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地点：供应商通过一毂清风投标人客户端点击文件开启界面，进入开标大厅后使用电脑远程解密开启文件。</w:t>
      </w:r>
    </w:p>
    <w:p w14:paraId="3B5AF18B">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b/>
          <w:sz w:val="24"/>
          <w:szCs w:val="24"/>
          <w:lang w:eastAsia="zh-CN"/>
        </w:rPr>
      </w:pPr>
      <w:bookmarkStart w:id="32" w:name="_Toc109899945"/>
      <w:bookmarkStart w:id="33" w:name="_Toc109899526"/>
      <w:bookmarkStart w:id="34" w:name="_Toc109897427"/>
      <w:bookmarkStart w:id="35" w:name="_Toc109900364"/>
      <w:r>
        <w:rPr>
          <w:rFonts w:hint="eastAsia" w:ascii="宋体" w:hAnsi="宋体" w:eastAsia="宋体" w:cs="宋体"/>
          <w:b/>
          <w:sz w:val="24"/>
          <w:szCs w:val="24"/>
        </w:rPr>
        <w:t>六、公告期限</w:t>
      </w:r>
      <w:bookmarkEnd w:id="32"/>
      <w:bookmarkEnd w:id="33"/>
      <w:bookmarkEnd w:id="34"/>
      <w:bookmarkEnd w:id="35"/>
      <w:r>
        <w:rPr>
          <w:rFonts w:hint="eastAsia" w:ascii="宋体" w:hAnsi="宋体" w:eastAsia="宋体" w:cs="宋体"/>
          <w:b/>
          <w:sz w:val="24"/>
          <w:szCs w:val="24"/>
          <w:lang w:eastAsia="zh-CN"/>
        </w:rPr>
        <w:t>：</w:t>
      </w:r>
    </w:p>
    <w:p w14:paraId="3E58244D">
      <w:pPr>
        <w:pStyle w:val="44"/>
        <w:keepNext w:val="0"/>
        <w:keepLines w:val="0"/>
        <w:pageBreakBefore w:val="0"/>
        <w:kinsoku/>
        <w:overflowPunct/>
        <w:topLinePunct w:val="0"/>
        <w:autoSpaceDE/>
        <w:autoSpaceDN/>
        <w:bidi w:val="0"/>
        <w:spacing w:line="4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自本公告发布之日起</w:t>
      </w:r>
      <w:r>
        <w:rPr>
          <w:rFonts w:hint="eastAsia" w:ascii="宋体" w:hAnsi="宋体" w:eastAsia="宋体" w:cs="宋体"/>
          <w:sz w:val="24"/>
          <w:szCs w:val="24"/>
          <w:lang w:val="en-US" w:eastAsia="zh-CN"/>
        </w:rPr>
        <w:t>5</w:t>
      </w:r>
      <w:r>
        <w:rPr>
          <w:rFonts w:hint="eastAsia" w:ascii="宋体" w:hAnsi="宋体" w:eastAsia="宋体" w:cs="宋体"/>
          <w:sz w:val="24"/>
          <w:szCs w:val="24"/>
        </w:rPr>
        <w:t>个工作日。</w:t>
      </w:r>
    </w:p>
    <w:p w14:paraId="3651BC29">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b/>
          <w:sz w:val="24"/>
          <w:szCs w:val="24"/>
          <w:lang w:eastAsia="zh-CN"/>
        </w:rPr>
      </w:pPr>
      <w:bookmarkStart w:id="36" w:name="_Toc109897428"/>
      <w:bookmarkStart w:id="37" w:name="_Toc109900365"/>
      <w:bookmarkStart w:id="38" w:name="_Toc109899946"/>
      <w:bookmarkStart w:id="39" w:name="_Toc109899527"/>
      <w:r>
        <w:rPr>
          <w:rFonts w:hint="eastAsia" w:ascii="宋体" w:hAnsi="宋体" w:eastAsia="宋体" w:cs="宋体"/>
          <w:b/>
          <w:sz w:val="24"/>
          <w:szCs w:val="24"/>
        </w:rPr>
        <w:t>七、其他补充事宜</w:t>
      </w:r>
      <w:bookmarkEnd w:id="36"/>
      <w:bookmarkEnd w:id="37"/>
      <w:bookmarkEnd w:id="38"/>
      <w:bookmarkEnd w:id="39"/>
      <w:r>
        <w:rPr>
          <w:rFonts w:hint="eastAsia" w:ascii="宋体" w:hAnsi="宋体" w:eastAsia="宋体" w:cs="宋体"/>
          <w:b/>
          <w:sz w:val="24"/>
          <w:szCs w:val="24"/>
          <w:lang w:eastAsia="zh-CN"/>
        </w:rPr>
        <w:t>：</w:t>
      </w:r>
    </w:p>
    <w:p w14:paraId="2AFE79C2">
      <w:pPr>
        <w:keepNext w:val="0"/>
        <w:keepLines w:val="0"/>
        <w:pageBreakBefore w:val="0"/>
        <w:kinsoku/>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请供应商提前获取投标人客户端操作手册，熟悉客户端操作流程。相关事宜可咨询客服QQ：800182906。本项目将在“一毂清风投标人客户端”平台上采用电子评标的方式进行评审，投标人无需提交纸质投标文件：各投标人应在递交投标文件前，持汇聚CA登录一毂清风投标人客户端，按要求上传电子投标文件，投标过程中可咨询客服热线：400-112-9919, 027-88660911。</w:t>
      </w:r>
    </w:p>
    <w:p w14:paraId="403AB9CF">
      <w:pPr>
        <w:keepNext w:val="0"/>
        <w:keepLines w:val="0"/>
        <w:pageBreakBefore w:val="0"/>
        <w:kinsoku/>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spacing w:val="-4"/>
          <w:sz w:val="24"/>
          <w:szCs w:val="24"/>
        </w:rPr>
      </w:pPr>
      <w:r>
        <w:rPr>
          <w:rFonts w:hint="eastAsia" w:ascii="宋体" w:hAnsi="宋体" w:eastAsia="宋体" w:cs="宋体"/>
          <w:bCs/>
          <w:sz w:val="24"/>
          <w:szCs w:val="24"/>
        </w:rPr>
        <w:t>2、</w:t>
      </w:r>
      <w:r>
        <w:rPr>
          <w:rFonts w:hint="eastAsia" w:ascii="宋体" w:hAnsi="宋体" w:eastAsia="宋体" w:cs="宋体"/>
          <w:spacing w:val="-4"/>
          <w:sz w:val="24"/>
          <w:szCs w:val="24"/>
        </w:rPr>
        <w:t>信息发布媒体</w:t>
      </w:r>
    </w:p>
    <w:p w14:paraId="10689129">
      <w:pPr>
        <w:keepNext w:val="0"/>
        <w:keepLines w:val="0"/>
        <w:pageBreakBefore w:val="0"/>
        <w:kinsoku/>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《湖北省政府采购网》</w:t>
      </w:r>
      <w:r>
        <w:rPr>
          <w:rFonts w:hint="eastAsia" w:ascii="宋体" w:hAnsi="宋体" w:eastAsia="宋体" w:cs="宋体"/>
          <w:sz w:val="24"/>
          <w:szCs w:val="24"/>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"https://www.ccgp-hubei.gov.cn/" </w:instrText>
      </w:r>
      <w:r>
        <w:rPr>
          <w:rFonts w:hint="eastAsia" w:ascii="宋体" w:hAnsi="宋体" w:eastAsia="宋体" w:cs="宋体"/>
          <w:sz w:val="24"/>
          <w:szCs w:val="24"/>
        </w:rPr>
        <w:fldChar w:fldCharType="separate"/>
      </w:r>
      <w:r>
        <w:rPr>
          <w:rFonts w:hint="eastAsia" w:ascii="宋体" w:hAnsi="宋体" w:eastAsia="宋体" w:cs="宋体"/>
          <w:sz w:val="24"/>
          <w:szCs w:val="24"/>
        </w:rPr>
        <w:t>https://www.ccgp-hubei</w:t>
      </w:r>
      <w:r>
        <w:rPr>
          <w:rFonts w:hint="eastAsia" w:ascii="宋体" w:hAnsi="宋体" w:eastAsia="宋体" w:cs="宋体"/>
          <w:spacing w:val="-1"/>
          <w:sz w:val="24"/>
          <w:szCs w:val="24"/>
        </w:rPr>
        <w:t>.gov.cn/</w:t>
      </w:r>
      <w:r>
        <w:rPr>
          <w:rFonts w:hint="eastAsia" w:ascii="宋体" w:hAnsi="宋体" w:eastAsia="宋体" w:cs="宋体"/>
          <w:spacing w:val="-1"/>
          <w:sz w:val="24"/>
          <w:szCs w:val="24"/>
        </w:rPr>
        <w:fldChar w:fldCharType="end"/>
      </w:r>
      <w:r>
        <w:rPr>
          <w:rFonts w:hint="eastAsia" w:ascii="宋体" w:hAnsi="宋体" w:eastAsia="宋体" w:cs="宋体"/>
          <w:spacing w:val="-1"/>
          <w:sz w:val="24"/>
          <w:szCs w:val="24"/>
        </w:rPr>
        <w:t>）</w:t>
      </w:r>
    </w:p>
    <w:p w14:paraId="58EFCE72">
      <w:pPr>
        <w:keepNext w:val="0"/>
        <w:keepLines w:val="0"/>
        <w:pageBreakBefore w:val="0"/>
        <w:kinsoku/>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bCs/>
          <w:sz w:val="24"/>
          <w:szCs w:val="24"/>
        </w:rPr>
        <w:t>《武穴市政府采购电子交易平台》</w:t>
      </w:r>
      <w:r>
        <w:rPr>
          <w:rFonts w:hint="eastAsia" w:ascii="宋体" w:hAnsi="宋体" w:eastAsia="宋体" w:cs="宋体"/>
          <w:sz w:val="24"/>
          <w:szCs w:val="24"/>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"https://wx.hbncp.com.cn/" </w:instrText>
      </w:r>
      <w:r>
        <w:rPr>
          <w:rFonts w:hint="eastAsia" w:ascii="宋体" w:hAnsi="宋体" w:eastAsia="宋体" w:cs="宋体"/>
          <w:sz w:val="24"/>
          <w:szCs w:val="24"/>
        </w:rPr>
        <w:fldChar w:fldCharType="separate"/>
      </w:r>
      <w:r>
        <w:rPr>
          <w:rFonts w:hint="eastAsia" w:ascii="宋体" w:hAnsi="宋体" w:eastAsia="宋体" w:cs="宋体"/>
          <w:sz w:val="24"/>
          <w:szCs w:val="24"/>
        </w:rPr>
        <w:t>https://wx.hbncp.com.cn/</w:t>
      </w:r>
      <w:r>
        <w:rPr>
          <w:rFonts w:hint="eastAsia" w:ascii="宋体" w:hAnsi="宋体" w:eastAsia="宋体" w:cs="宋体"/>
          <w:sz w:val="24"/>
          <w:szCs w:val="24"/>
        </w:rPr>
        <w:fldChar w:fldCharType="end"/>
      </w:r>
      <w:r>
        <w:rPr>
          <w:rFonts w:hint="eastAsia" w:ascii="宋体" w:hAnsi="宋体" w:eastAsia="宋体" w:cs="宋体"/>
          <w:sz w:val="24"/>
          <w:szCs w:val="24"/>
        </w:rPr>
        <w:t>）</w:t>
      </w:r>
    </w:p>
    <w:p w14:paraId="35E5BF5C">
      <w:pPr>
        <w:keepNext w:val="0"/>
        <w:keepLines w:val="0"/>
        <w:pageBreakBefore w:val="0"/>
        <w:kinsoku/>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《武穴公共资源交易网》（http://www.wuxueggzy.com/）</w:t>
      </w:r>
    </w:p>
    <w:p w14:paraId="1AA92B6D">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b/>
          <w:sz w:val="24"/>
          <w:szCs w:val="24"/>
          <w:lang w:eastAsia="zh-CN"/>
        </w:rPr>
      </w:pPr>
      <w:bookmarkStart w:id="40" w:name="_Toc109899947"/>
      <w:bookmarkStart w:id="41" w:name="_Toc109897429"/>
      <w:bookmarkStart w:id="42" w:name="_Toc109900366"/>
      <w:bookmarkStart w:id="43" w:name="_Toc109899528"/>
      <w:r>
        <w:rPr>
          <w:rFonts w:hint="eastAsia" w:ascii="宋体" w:hAnsi="宋体" w:eastAsia="宋体" w:cs="宋体"/>
          <w:b/>
          <w:sz w:val="24"/>
          <w:szCs w:val="24"/>
        </w:rPr>
        <w:t>八、凡对本次采购提出询问，请按以下方式联系</w:t>
      </w:r>
      <w:bookmarkEnd w:id="40"/>
      <w:bookmarkEnd w:id="41"/>
      <w:bookmarkEnd w:id="42"/>
      <w:bookmarkEnd w:id="43"/>
      <w:r>
        <w:rPr>
          <w:rFonts w:hint="eastAsia" w:ascii="宋体" w:hAnsi="宋体" w:eastAsia="宋体" w:cs="宋体"/>
          <w:b/>
          <w:sz w:val="24"/>
          <w:szCs w:val="24"/>
          <w:lang w:eastAsia="zh-CN"/>
        </w:rPr>
        <w:t>：</w:t>
      </w:r>
    </w:p>
    <w:bookmarkEnd w:id="5"/>
    <w:p w14:paraId="53BFC26F">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采购人信息</w:t>
      </w:r>
    </w:p>
    <w:p w14:paraId="314A52D0">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采购人</w:t>
      </w:r>
      <w:r>
        <w:rPr>
          <w:rFonts w:hint="eastAsia" w:ascii="宋体" w:hAnsi="宋体" w:eastAsia="宋体" w:cs="宋体"/>
          <w:sz w:val="24"/>
          <w:szCs w:val="24"/>
        </w:rPr>
        <w:t>：</w:t>
      </w:r>
      <w:r>
        <w:rPr>
          <w:rFonts w:hint="eastAsia" w:ascii="宋体" w:hAnsi="宋体" w:eastAsia="宋体" w:cs="宋体"/>
          <w:sz w:val="24"/>
          <w:szCs w:val="24"/>
          <w:lang w:eastAsia="zh-CN"/>
        </w:rPr>
        <w:t>武穴市自然资源和规划局</w:t>
      </w:r>
    </w:p>
    <w:p w14:paraId="1AF7703A">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kern w:val="0"/>
          <w:sz w:val="24"/>
          <w:szCs w:val="24"/>
          <w:lang w:eastAsia="zh-CN" w:bidi="ar"/>
        </w:rPr>
      </w:pPr>
      <w:r>
        <w:rPr>
          <w:rFonts w:hint="eastAsia" w:ascii="宋体" w:hAnsi="宋体" w:eastAsia="宋体" w:cs="宋体"/>
          <w:sz w:val="24"/>
          <w:szCs w:val="24"/>
        </w:rPr>
        <w:t>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址：</w:t>
      </w:r>
      <w:r>
        <w:rPr>
          <w:rFonts w:hint="eastAsia" w:ascii="宋体" w:hAnsi="宋体" w:eastAsia="宋体" w:cs="宋体"/>
          <w:kern w:val="0"/>
          <w:sz w:val="24"/>
          <w:szCs w:val="24"/>
          <w:lang w:eastAsia="zh-CN" w:bidi="ar"/>
        </w:rPr>
        <w:t>武穴市城东新区</w:t>
      </w:r>
    </w:p>
    <w:p w14:paraId="7D4B2A10">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联系人：张先生</w:t>
      </w:r>
    </w:p>
    <w:p w14:paraId="02EDD91A">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联系方式：</w:t>
      </w:r>
      <w:r>
        <w:rPr>
          <w:rFonts w:hint="eastAsia" w:ascii="宋体" w:hAnsi="宋体" w:eastAsia="宋体" w:cs="宋体"/>
          <w:sz w:val="24"/>
          <w:szCs w:val="24"/>
          <w:lang w:eastAsia="zh-CN"/>
        </w:rPr>
        <w:t>13872033596</w:t>
      </w:r>
    </w:p>
    <w:p w14:paraId="704392DF">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采购代理机构信息</w:t>
      </w:r>
    </w:p>
    <w:bookmarkEnd w:id="6"/>
    <w:p w14:paraId="0F3FA6B5">
      <w:pPr>
        <w:keepNext w:val="0"/>
        <w:keepLines w:val="0"/>
        <w:pageBreakBefore w:val="0"/>
        <w:widowControl/>
        <w:kinsoku/>
        <w:wordWrap/>
        <w:overflowPunct/>
        <w:topLinePunct w:val="0"/>
        <w:autoSpaceDE/>
        <w:autoSpaceDN/>
        <w:bidi w:val="0"/>
        <w:adjustRightInd/>
        <w:snapToGrid w:val="0"/>
        <w:spacing w:line="40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shd w:val="clear" w:color="auto" w:fill="FFFFFF"/>
        </w:rPr>
        <w:t>招标代理机构：湖北</w:t>
      </w:r>
      <w:r>
        <w:rPr>
          <w:rFonts w:hint="eastAsia" w:ascii="宋体" w:hAnsi="宋体" w:eastAsia="宋体" w:cs="宋体"/>
          <w:color w:val="auto"/>
          <w:sz w:val="24"/>
          <w:szCs w:val="24"/>
          <w:shd w:val="clear" w:color="auto" w:fill="FFFFFF"/>
          <w:lang w:eastAsia="zh-CN"/>
        </w:rPr>
        <w:t>丰和工程项目管理</w:t>
      </w:r>
      <w:r>
        <w:rPr>
          <w:rFonts w:hint="eastAsia" w:ascii="宋体" w:hAnsi="宋体" w:eastAsia="宋体" w:cs="宋体"/>
          <w:color w:val="auto"/>
          <w:sz w:val="24"/>
          <w:szCs w:val="24"/>
          <w:shd w:val="clear" w:color="auto" w:fill="FFFFFF"/>
        </w:rPr>
        <w:t>有限公司</w:t>
      </w:r>
    </w:p>
    <w:p w14:paraId="6EA4D02A">
      <w:pPr>
        <w:keepNext w:val="0"/>
        <w:keepLines w:val="0"/>
        <w:pageBreakBefore w:val="0"/>
        <w:widowControl/>
        <w:kinsoku/>
        <w:wordWrap/>
        <w:overflowPunct/>
        <w:topLinePunct w:val="0"/>
        <w:autoSpaceDE/>
        <w:autoSpaceDN/>
        <w:bidi w:val="0"/>
        <w:adjustRightInd/>
        <w:snapToGrid w:val="0"/>
        <w:spacing w:line="40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shd w:val="clear" w:color="auto" w:fill="FFFFFF"/>
        </w:rPr>
        <w:t xml:space="preserve">地 </w:t>
      </w:r>
      <w:r>
        <w:rPr>
          <w:rFonts w:hint="eastAsia" w:ascii="宋体" w:hAnsi="宋体" w:eastAsia="宋体" w:cs="宋体"/>
          <w:color w:val="auto"/>
          <w:sz w:val="24"/>
          <w:szCs w:val="24"/>
          <w:shd w:val="clear" w:color="auto" w:fill="FFFFFF"/>
          <w:lang w:val="en-US" w:eastAsia="zh-CN"/>
        </w:rPr>
        <w:t xml:space="preserve">  </w:t>
      </w:r>
      <w:r>
        <w:rPr>
          <w:rFonts w:hint="eastAsia" w:ascii="宋体" w:hAnsi="宋体" w:eastAsia="宋体" w:cs="宋体"/>
          <w:color w:val="auto"/>
          <w:sz w:val="24"/>
          <w:szCs w:val="24"/>
          <w:shd w:val="clear" w:color="auto" w:fill="FFFFFF"/>
        </w:rPr>
        <w:t>址：武穴市公园南路16号</w:t>
      </w:r>
    </w:p>
    <w:p w14:paraId="49CD9C31">
      <w:pPr>
        <w:keepNext w:val="0"/>
        <w:keepLines w:val="0"/>
        <w:pageBreakBefore w:val="0"/>
        <w:widowControl/>
        <w:kinsoku/>
        <w:wordWrap/>
        <w:overflowPunct/>
        <w:topLinePunct w:val="0"/>
        <w:autoSpaceDE/>
        <w:autoSpaceDN/>
        <w:bidi w:val="0"/>
        <w:adjustRightInd/>
        <w:snapToGrid w:val="0"/>
        <w:spacing w:line="40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shd w:val="clear" w:color="auto" w:fill="FFFFFF"/>
        </w:rPr>
        <w:t>联系人：</w:t>
      </w:r>
      <w:r>
        <w:rPr>
          <w:rFonts w:hint="eastAsia" w:ascii="宋体" w:hAnsi="宋体" w:eastAsia="宋体" w:cs="宋体"/>
          <w:color w:val="auto"/>
          <w:sz w:val="24"/>
          <w:szCs w:val="24"/>
          <w:shd w:val="clear" w:color="auto" w:fill="FFFFFF"/>
          <w:lang w:val="en-US" w:eastAsia="zh-CN"/>
        </w:rPr>
        <w:t>饶先生</w:t>
      </w:r>
    </w:p>
    <w:p w14:paraId="424B04FA">
      <w:pPr>
        <w:keepNext w:val="0"/>
        <w:keepLines w:val="0"/>
        <w:pageBreakBefore w:val="0"/>
        <w:kinsoku/>
        <w:overflowPunct/>
        <w:topLinePunct w:val="0"/>
        <w:autoSpaceDE/>
        <w:autoSpaceDN/>
        <w:bidi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auto"/>
          <w:sz w:val="24"/>
          <w:szCs w:val="24"/>
          <w:shd w:val="clear" w:color="auto" w:fill="FFFFFF"/>
        </w:rPr>
        <w:t xml:space="preserve">电 </w:t>
      </w:r>
      <w:r>
        <w:rPr>
          <w:rFonts w:hint="eastAsia" w:ascii="宋体" w:hAnsi="宋体" w:eastAsia="宋体" w:cs="宋体"/>
          <w:color w:val="auto"/>
          <w:sz w:val="24"/>
          <w:szCs w:val="24"/>
          <w:shd w:val="clear" w:color="auto" w:fill="FFFFFF"/>
          <w:lang w:val="en-US" w:eastAsia="zh-CN"/>
        </w:rPr>
        <w:t xml:space="preserve"> </w:t>
      </w:r>
      <w:r>
        <w:rPr>
          <w:rFonts w:hint="eastAsia" w:ascii="宋体" w:hAnsi="宋体" w:eastAsia="宋体" w:cs="宋体"/>
          <w:color w:val="auto"/>
          <w:sz w:val="24"/>
          <w:szCs w:val="24"/>
          <w:shd w:val="clear" w:color="auto" w:fill="FFFFFF"/>
        </w:rPr>
        <w:t xml:space="preserve"> 话：0713-6233756</w:t>
      </w:r>
    </w:p>
    <w:p w14:paraId="24693BF9">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sz w:val="24"/>
          <w:szCs w:val="24"/>
        </w:rPr>
      </w:pPr>
    </w:p>
    <w:p w14:paraId="1FC0ECF1">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sz w:val="24"/>
          <w:szCs w:val="24"/>
        </w:rPr>
      </w:pPr>
    </w:p>
    <w:p w14:paraId="60F352A5">
      <w:pPr>
        <w:keepNext w:val="0"/>
        <w:keepLines w:val="0"/>
        <w:pageBreakBefore w:val="0"/>
        <w:kinsoku/>
        <w:overflowPunct/>
        <w:topLinePunct w:val="0"/>
        <w:autoSpaceDE/>
        <w:autoSpaceDN/>
        <w:bidi w:val="0"/>
        <w:spacing w:line="400" w:lineRule="exact"/>
        <w:textAlignment w:val="auto"/>
        <w:rPr>
          <w:rFonts w:hint="eastAsia" w:ascii="宋体" w:hAnsi="宋体" w:eastAsia="宋体" w:cs="宋体"/>
          <w:sz w:val="24"/>
          <w:szCs w:val="24"/>
        </w:rPr>
      </w:pPr>
    </w:p>
    <w:p w14:paraId="1CEC314F">
      <w:pPr>
        <w:keepNext w:val="0"/>
        <w:keepLines w:val="0"/>
        <w:pageBreakBefore w:val="0"/>
        <w:kinsoku/>
        <w:overflowPunct/>
        <w:topLinePunct w:val="0"/>
        <w:autoSpaceDE/>
        <w:autoSpaceDN/>
        <w:bidi w:val="0"/>
        <w:spacing w:line="400" w:lineRule="exact"/>
        <w:jc w:val="right"/>
        <w:textAlignment w:val="auto"/>
        <w:rPr>
          <w:rFonts w:hint="eastAsia" w:ascii="宋体" w:hAnsi="宋体" w:eastAsia="宋体" w:cs="宋体"/>
          <w:sz w:val="24"/>
          <w:szCs w:val="24"/>
          <w:lang w:val="en-US" w:eastAsia="zh-CN"/>
        </w:rPr>
        <w:sectPr>
          <w:footerReference r:id="rId3" w:type="default"/>
          <w:pgSz w:w="11906" w:h="16838"/>
          <w:pgMar w:top="1440" w:right="1800" w:bottom="1440" w:left="1800" w:header="851" w:footer="992" w:gutter="0"/>
          <w:pgNumType w:start="1"/>
          <w:cols w:space="425" w:num="1"/>
          <w:docGrid w:type="lines" w:linePitch="312" w:charSpace="0"/>
        </w:sectPr>
      </w:pPr>
      <w:r>
        <w:rPr>
          <w:rFonts w:hint="eastAsia" w:ascii="宋体" w:hAnsi="宋体" w:eastAsia="宋体" w:cs="宋体"/>
          <w:sz w:val="24"/>
          <w:szCs w:val="24"/>
          <w:lang w:val="en-US" w:eastAsia="zh-CN"/>
        </w:rPr>
        <w:t>2026年4月16日</w:t>
      </w:r>
    </w:p>
    <w:p w14:paraId="69D9C863">
      <w:pPr>
        <w:pStyle w:val="3"/>
        <w:numPr>
          <w:ilvl w:val="0"/>
          <w:numId w:val="0"/>
        </w:numPr>
        <w:ind w:left="420" w:leftChars="0" w:hanging="420" w:firstLineChars="0"/>
        <w:jc w:val="center"/>
        <w:rPr>
          <w:sz w:val="30"/>
          <w:szCs w:val="30"/>
        </w:rPr>
      </w:pPr>
      <w:bookmarkStart w:id="44" w:name="_Toc2904"/>
      <w:r>
        <w:rPr>
          <w:rFonts w:hint="eastAsia" w:ascii="宋体" w:hAnsi="宋体" w:eastAsia="黑体" w:cstheme="minorBidi"/>
          <w:b/>
          <w:bCs/>
          <w:kern w:val="44"/>
          <w:sz w:val="30"/>
          <w:szCs w:val="30"/>
          <w:lang w:val="en-US" w:eastAsia="zh-CN" w:bidi="ar-SA"/>
        </w:rPr>
        <w:t xml:space="preserve">第三章 </w:t>
      </w:r>
      <w:r>
        <w:rPr>
          <w:rFonts w:hint="eastAsia"/>
          <w:sz w:val="30"/>
          <w:szCs w:val="30"/>
        </w:rPr>
        <w:t>项目采购需求</w:t>
      </w:r>
      <w:bookmarkEnd w:id="44"/>
    </w:p>
    <w:p w14:paraId="0F76E0B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b w:val="0"/>
          <w:bCs w:val="0"/>
          <w:color w:val="000000"/>
          <w:sz w:val="24"/>
          <w:szCs w:val="24"/>
          <w:lang w:val="en-US" w:eastAsia="zh-CN"/>
        </w:rPr>
        <w:t>1、</w:t>
      </w:r>
      <w:r>
        <w:rPr>
          <w:rFonts w:hint="eastAsia" w:ascii="宋体" w:hAnsi="宋体" w:eastAsia="宋体" w:cs="宋体"/>
          <w:color w:val="auto"/>
          <w:sz w:val="24"/>
          <w:szCs w:val="24"/>
          <w:lang w:val="en-US" w:eastAsia="zh-CN"/>
        </w:rPr>
        <w:t>采购项目内容</w:t>
      </w:r>
      <w:r>
        <w:rPr>
          <w:rFonts w:hint="eastAsia" w:ascii="宋体" w:hAnsi="宋体" w:eastAsia="宋体" w:cs="宋体"/>
          <w:b w:val="0"/>
          <w:bCs w:val="0"/>
          <w:color w:val="000000"/>
          <w:sz w:val="24"/>
          <w:szCs w:val="24"/>
          <w:lang w:eastAsia="zh-CN"/>
        </w:rPr>
        <w:t>：</w:t>
      </w:r>
      <w:r>
        <w:rPr>
          <w:rFonts w:hint="eastAsia" w:cs="仿宋_GB2312"/>
          <w:sz w:val="24"/>
          <w:szCs w:val="24"/>
          <w:u w:val="none"/>
        </w:rPr>
        <w:t>为切实做好我市松材线虫病疫情防控工作，维护生态安全，按照黄冈市重大林业有害生物防控指挥部《关于做好我市2026年重点林业有害生物防治工作的通知》(黄林生防指办(2026)1号)的要求，进一步巩固我市“窗口期”松材线虫病病枯死木清理的成果，决定在4-8月开展2026年度松材线虫病松褐天牛防治工作，切断松材线虫病传播媒介。防治范围涉及大法寺镇、四股平林场、余川镇</w:t>
      </w:r>
      <w:r>
        <w:rPr>
          <w:rFonts w:hint="eastAsia" w:cs="仿宋_GB2312"/>
          <w:sz w:val="24"/>
          <w:szCs w:val="24"/>
          <w:u w:val="none"/>
          <w:lang w:eastAsia="zh-CN"/>
        </w:rPr>
        <w:t>、</w:t>
      </w:r>
      <w:r>
        <w:rPr>
          <w:rFonts w:hint="eastAsia" w:cs="仿宋_GB2312"/>
          <w:sz w:val="24"/>
          <w:szCs w:val="24"/>
          <w:u w:val="none"/>
        </w:rPr>
        <w:t>梅川镇、四望镇、花桥镇、刊江街道。主要任务</w:t>
      </w:r>
      <w:r>
        <w:rPr>
          <w:rFonts w:hint="eastAsia" w:cs="仿宋_GB2312"/>
          <w:sz w:val="24"/>
          <w:szCs w:val="24"/>
          <w:u w:val="none"/>
          <w:lang w:eastAsia="zh-CN"/>
        </w:rPr>
        <w:t>：</w:t>
      </w:r>
      <w:r>
        <w:rPr>
          <w:rFonts w:hint="eastAsia" w:cs="仿宋_GB2312"/>
          <w:sz w:val="24"/>
          <w:szCs w:val="24"/>
          <w:u w:val="none"/>
        </w:rPr>
        <w:t>一是对防治范</w:t>
      </w:r>
      <w:r>
        <w:rPr>
          <w:rFonts w:hint="eastAsia" w:ascii="宋体" w:hAnsi="宋体" w:eastAsia="宋体" w:cs="宋体"/>
          <w:color w:val="auto"/>
          <w:sz w:val="24"/>
          <w:szCs w:val="24"/>
          <w:lang w:val="en-US" w:eastAsia="zh-CN"/>
        </w:rPr>
        <w:t>围内病枯死木清理涉及的重点区域进行松褐天牛防治工作，预计防治面积4.02万亩，防治两次(以实际防治面积为准)。二是做好松褐天牛虫口密度监测等工作。</w:t>
      </w:r>
    </w:p>
    <w:p w14:paraId="0BB169E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2、防治药剂:8%氯氰菊酯微囊悬浮剂。</w:t>
      </w:r>
    </w:p>
    <w:p w14:paraId="6CAB47CF">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3、质量要求：满足国家现行法律法规和政策要求达到合格标准。</w:t>
      </w:r>
    </w:p>
    <w:p w14:paraId="5BAA48C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4、合同履行期限：120日历天。</w:t>
      </w:r>
    </w:p>
    <w:p w14:paraId="2E02C1DF">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lang w:val="en-US" w:eastAsia="zh-CN"/>
        </w:rPr>
        <w:sectPr>
          <w:pgSz w:w="11906" w:h="16838"/>
          <w:pgMar w:top="1440" w:right="1800" w:bottom="1440" w:left="1800" w:header="851" w:footer="992" w:gutter="0"/>
          <w:cols w:space="425" w:num="1"/>
          <w:docGrid w:type="lines" w:linePitch="312" w:charSpace="0"/>
        </w:sectPr>
      </w:pPr>
    </w:p>
    <w:p w14:paraId="7436880A">
      <w:pPr>
        <w:pStyle w:val="2"/>
        <w:numPr>
          <w:ilvl w:val="0"/>
          <w:numId w:val="0"/>
        </w:numPr>
        <w:rPr>
          <w:rFonts w:hint="eastAsia"/>
          <w:b/>
          <w:bCs/>
          <w:sz w:val="30"/>
          <w:szCs w:val="30"/>
          <w:lang w:eastAsia="zh-CN"/>
        </w:rPr>
      </w:pPr>
      <w:r>
        <w:rPr>
          <w:rFonts w:hint="eastAsia" w:ascii="Arial" w:hAnsi="Arial" w:eastAsia="宋体" w:cs="Arial"/>
          <w:b/>
          <w:bCs/>
          <w:color w:val="000000"/>
          <w:sz w:val="30"/>
          <w:szCs w:val="30"/>
          <w:lang w:val="en-US" w:eastAsia="zh-CN" w:bidi="ar-SA"/>
        </w:rPr>
        <w:t>（一）</w:t>
      </w:r>
      <w:r>
        <w:rPr>
          <w:rFonts w:hint="eastAsia"/>
          <w:b/>
          <w:bCs/>
          <w:sz w:val="30"/>
          <w:szCs w:val="30"/>
          <w:lang w:eastAsia="zh-CN"/>
        </w:rPr>
        <w:t>资格审查</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886"/>
        <w:gridCol w:w="2803"/>
        <w:gridCol w:w="5031"/>
      </w:tblGrid>
      <w:tr w14:paraId="5E20D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45CF0A6">
            <w:pPr>
              <w:pStyle w:val="45"/>
              <w:jc w:val="center"/>
              <w:rPr>
                <w:b/>
                <w:bCs/>
                <w:sz w:val="24"/>
                <w:szCs w:val="24"/>
              </w:rPr>
            </w:pPr>
            <w:bookmarkStart w:id="45" w:name="_Hlk161711060"/>
            <w:r>
              <w:rPr>
                <w:rFonts w:hint="eastAsia"/>
                <w:b/>
                <w:bCs/>
                <w:sz w:val="24"/>
                <w:szCs w:val="24"/>
              </w:rPr>
              <w:t>序号</w:t>
            </w:r>
          </w:p>
        </w:tc>
        <w:tc>
          <w:tcPr>
            <w:tcW w:w="1607"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3C122F5">
            <w:pPr>
              <w:pStyle w:val="45"/>
              <w:jc w:val="center"/>
              <w:rPr>
                <w:b/>
                <w:bCs/>
                <w:sz w:val="24"/>
                <w:szCs w:val="24"/>
              </w:rPr>
            </w:pPr>
            <w:r>
              <w:rPr>
                <w:rFonts w:hint="eastAsia"/>
                <w:b/>
                <w:bCs/>
                <w:sz w:val="24"/>
                <w:szCs w:val="24"/>
              </w:rPr>
              <w:t>资格要求</w:t>
            </w:r>
          </w:p>
        </w:tc>
        <w:tc>
          <w:tcPr>
            <w:tcW w:w="2885"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239594A">
            <w:pPr>
              <w:pStyle w:val="45"/>
              <w:jc w:val="center"/>
              <w:rPr>
                <w:b/>
                <w:bCs/>
                <w:sz w:val="24"/>
                <w:szCs w:val="24"/>
              </w:rPr>
            </w:pPr>
            <w:r>
              <w:rPr>
                <w:rFonts w:hint="eastAsia"/>
                <w:b/>
                <w:bCs/>
                <w:sz w:val="24"/>
                <w:szCs w:val="24"/>
              </w:rPr>
              <w:t>审查内容</w:t>
            </w:r>
          </w:p>
        </w:tc>
      </w:tr>
      <w:tr w14:paraId="3AC10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508" w:type="pct"/>
            <w:vMerge w:val="restart"/>
            <w:tcBorders>
              <w:top w:val="single" w:color="auto" w:sz="4" w:space="0"/>
              <w:left w:val="single" w:color="auto" w:sz="4" w:space="0"/>
              <w:bottom w:val="single" w:color="auto" w:sz="4" w:space="0"/>
              <w:right w:val="single" w:color="auto" w:sz="4" w:space="0"/>
            </w:tcBorders>
            <w:vAlign w:val="center"/>
          </w:tcPr>
          <w:p w14:paraId="09F9EF82">
            <w:pPr>
              <w:pStyle w:val="45"/>
              <w:numPr>
                <w:ilvl w:val="0"/>
                <w:numId w:val="2"/>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39C571BC">
            <w:pPr>
              <w:pStyle w:val="45"/>
              <w:jc w:val="both"/>
              <w:rPr>
                <w:sz w:val="24"/>
                <w:szCs w:val="24"/>
              </w:rPr>
            </w:pPr>
            <w:r>
              <w:rPr>
                <w:rFonts w:hint="eastAsia"/>
                <w:sz w:val="24"/>
                <w:szCs w:val="24"/>
              </w:rPr>
              <w:t>具有独立承担民事责任的能力</w:t>
            </w:r>
          </w:p>
        </w:tc>
        <w:tc>
          <w:tcPr>
            <w:tcW w:w="2885" w:type="pct"/>
            <w:tcBorders>
              <w:top w:val="single" w:color="auto" w:sz="4" w:space="0"/>
              <w:left w:val="single" w:color="auto" w:sz="4" w:space="0"/>
              <w:bottom w:val="single" w:color="auto" w:sz="4" w:space="0"/>
              <w:right w:val="single" w:color="auto" w:sz="4" w:space="0"/>
            </w:tcBorders>
            <w:vAlign w:val="center"/>
          </w:tcPr>
          <w:p w14:paraId="113F1D04">
            <w:pPr>
              <w:pStyle w:val="45"/>
              <w:jc w:val="both"/>
              <w:rPr>
                <w:sz w:val="24"/>
                <w:szCs w:val="24"/>
              </w:rPr>
            </w:pPr>
            <w:r>
              <w:rPr>
                <w:rFonts w:hint="eastAsia"/>
                <w:sz w:val="24"/>
                <w:szCs w:val="24"/>
              </w:rPr>
              <w:t>法人或者其他组织的营业执照等证明文件，自然人的身份证明。</w:t>
            </w:r>
          </w:p>
          <w:p w14:paraId="18D1BE12">
            <w:pPr>
              <w:pStyle w:val="45"/>
              <w:jc w:val="both"/>
              <w:rPr>
                <w:sz w:val="24"/>
                <w:szCs w:val="24"/>
              </w:rPr>
            </w:pPr>
            <w:r>
              <w:rPr>
                <w:rFonts w:hint="eastAsia"/>
                <w:sz w:val="24"/>
                <w:szCs w:val="24"/>
              </w:rPr>
              <w:t>（1）企业应提供“营业执照”；</w:t>
            </w:r>
          </w:p>
          <w:p w14:paraId="19B23DC8">
            <w:pPr>
              <w:pStyle w:val="45"/>
              <w:jc w:val="both"/>
              <w:rPr>
                <w:sz w:val="24"/>
                <w:szCs w:val="24"/>
              </w:rPr>
            </w:pPr>
            <w:r>
              <w:rPr>
                <w:rFonts w:hint="eastAsia"/>
                <w:sz w:val="24"/>
                <w:szCs w:val="24"/>
              </w:rPr>
              <w:t>（2）事业单位应提供“事业单位法人证书”；</w:t>
            </w:r>
          </w:p>
          <w:p w14:paraId="143687DC">
            <w:pPr>
              <w:pStyle w:val="45"/>
              <w:jc w:val="both"/>
              <w:rPr>
                <w:sz w:val="24"/>
                <w:szCs w:val="24"/>
              </w:rPr>
            </w:pPr>
            <w:r>
              <w:rPr>
                <w:rFonts w:hint="eastAsia"/>
                <w:sz w:val="24"/>
                <w:szCs w:val="24"/>
              </w:rPr>
              <w:t>（3）非企业专业服务机构应提供执业许可证等证明文件；</w:t>
            </w:r>
          </w:p>
          <w:p w14:paraId="6E69C496">
            <w:pPr>
              <w:pStyle w:val="45"/>
              <w:jc w:val="both"/>
              <w:rPr>
                <w:sz w:val="24"/>
                <w:szCs w:val="24"/>
              </w:rPr>
            </w:pPr>
            <w:r>
              <w:rPr>
                <w:rFonts w:hint="eastAsia"/>
                <w:sz w:val="24"/>
                <w:szCs w:val="24"/>
              </w:rPr>
              <w:t>（4）个体工商户应提供“个体工商户营业执照”；</w:t>
            </w:r>
          </w:p>
          <w:p w14:paraId="28FA5E51">
            <w:pPr>
              <w:pStyle w:val="45"/>
              <w:jc w:val="both"/>
              <w:rPr>
                <w:sz w:val="24"/>
                <w:szCs w:val="24"/>
              </w:rPr>
            </w:pPr>
            <w:r>
              <w:rPr>
                <w:rFonts w:hint="eastAsia"/>
                <w:sz w:val="24"/>
                <w:szCs w:val="24"/>
              </w:rPr>
              <w:t>（5）自然人应提供自然人身份证明。</w:t>
            </w:r>
          </w:p>
        </w:tc>
      </w:tr>
      <w:tr w14:paraId="322BB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6392E077">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6406FB59">
            <w:pPr>
              <w:pStyle w:val="45"/>
              <w:jc w:val="both"/>
              <w:rPr>
                <w:sz w:val="24"/>
                <w:szCs w:val="24"/>
              </w:rPr>
            </w:pPr>
            <w:r>
              <w:rPr>
                <w:rFonts w:hint="eastAsia"/>
                <w:sz w:val="24"/>
                <w:szCs w:val="24"/>
              </w:rPr>
              <w:t>具有良好的商业信誉和健全的财务会计制度</w:t>
            </w:r>
          </w:p>
        </w:tc>
        <w:tc>
          <w:tcPr>
            <w:tcW w:w="2885" w:type="pct"/>
            <w:tcBorders>
              <w:top w:val="single" w:color="auto" w:sz="4" w:space="0"/>
              <w:left w:val="single" w:color="auto" w:sz="4" w:space="0"/>
              <w:bottom w:val="single" w:color="auto" w:sz="4" w:space="0"/>
              <w:right w:val="single" w:color="auto" w:sz="4" w:space="0"/>
            </w:tcBorders>
            <w:vAlign w:val="center"/>
          </w:tcPr>
          <w:p w14:paraId="080EE282">
            <w:pPr>
              <w:pStyle w:val="45"/>
              <w:rPr>
                <w:sz w:val="24"/>
                <w:szCs w:val="24"/>
              </w:rPr>
            </w:pPr>
            <w:r>
              <w:rPr>
                <w:rFonts w:hint="eastAsia"/>
                <w:sz w:val="24"/>
                <w:szCs w:val="24"/>
              </w:rPr>
              <w:t>由供应商对以下内容提供书面承诺或声明，或提供相应证明材料。</w:t>
            </w:r>
          </w:p>
          <w:p w14:paraId="61D113B0">
            <w:pPr>
              <w:pStyle w:val="45"/>
              <w:rPr>
                <w:sz w:val="24"/>
                <w:szCs w:val="24"/>
              </w:rPr>
            </w:pPr>
            <w:r>
              <w:rPr>
                <w:rFonts w:hint="eastAsia"/>
                <w:sz w:val="24"/>
                <w:szCs w:val="24"/>
              </w:rPr>
              <w:t>（</w:t>
            </w:r>
            <w:r>
              <w:rPr>
                <w:sz w:val="24"/>
                <w:szCs w:val="24"/>
              </w:rPr>
              <w:t>1）供应商是法人的，应具有上一年度经审计的财务报告，或其基本开户银行出具的资信证明。其他组织和自然人，没有经审计的财务报告，应具有银行出具的资信证明。</w:t>
            </w:r>
          </w:p>
          <w:p w14:paraId="7E1A8785">
            <w:pPr>
              <w:pStyle w:val="45"/>
              <w:rPr>
                <w:sz w:val="24"/>
                <w:szCs w:val="24"/>
              </w:rPr>
            </w:pPr>
            <w:r>
              <w:rPr>
                <w:rFonts w:hint="eastAsia"/>
                <w:sz w:val="24"/>
                <w:szCs w:val="24"/>
              </w:rPr>
              <w:t>（</w:t>
            </w:r>
            <w:r>
              <w:rPr>
                <w:sz w:val="24"/>
                <w:szCs w:val="24"/>
              </w:rPr>
              <w:t>2）有专业担保机构对供应商进行资信审查后出具投标担保函的，可以不用具备经审计的财务报告和银行资信证明文件。</w:t>
            </w:r>
          </w:p>
        </w:tc>
      </w:tr>
      <w:tr w14:paraId="2C413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19D48FCF">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57769604">
            <w:pPr>
              <w:pStyle w:val="45"/>
              <w:jc w:val="both"/>
              <w:rPr>
                <w:sz w:val="24"/>
                <w:szCs w:val="24"/>
              </w:rPr>
            </w:pPr>
            <w:r>
              <w:rPr>
                <w:rFonts w:hint="eastAsia"/>
                <w:sz w:val="24"/>
                <w:szCs w:val="24"/>
              </w:rPr>
              <w:t>具有履行合同所必需的设备和专业技术能力</w:t>
            </w:r>
          </w:p>
        </w:tc>
        <w:tc>
          <w:tcPr>
            <w:tcW w:w="0" w:type="auto"/>
            <w:tcBorders>
              <w:top w:val="single" w:color="auto" w:sz="4" w:space="0"/>
              <w:left w:val="single" w:color="auto" w:sz="4" w:space="0"/>
              <w:bottom w:val="single" w:color="auto" w:sz="4" w:space="0"/>
              <w:right w:val="single" w:color="auto" w:sz="4" w:space="0"/>
            </w:tcBorders>
            <w:vAlign w:val="center"/>
          </w:tcPr>
          <w:p w14:paraId="5D328CBE">
            <w:pPr>
              <w:pStyle w:val="45"/>
              <w:rPr>
                <w:sz w:val="24"/>
                <w:szCs w:val="24"/>
              </w:rPr>
            </w:pPr>
            <w:r>
              <w:rPr>
                <w:rFonts w:hint="eastAsia"/>
                <w:sz w:val="24"/>
                <w:szCs w:val="24"/>
              </w:rPr>
              <w:t>由供应商提供书面承诺或声明，或提供相应证明材料。</w:t>
            </w:r>
          </w:p>
        </w:tc>
      </w:tr>
      <w:tr w14:paraId="1DAAE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280B102F">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72F96B21">
            <w:pPr>
              <w:pStyle w:val="45"/>
              <w:jc w:val="both"/>
              <w:rPr>
                <w:sz w:val="24"/>
                <w:szCs w:val="24"/>
              </w:rPr>
            </w:pPr>
            <w:r>
              <w:rPr>
                <w:rFonts w:hint="eastAsia"/>
                <w:sz w:val="24"/>
                <w:szCs w:val="24"/>
              </w:rPr>
              <w:t>有依法缴纳税收和社会保障资金的良好记录</w:t>
            </w:r>
          </w:p>
        </w:tc>
        <w:tc>
          <w:tcPr>
            <w:tcW w:w="0" w:type="auto"/>
            <w:tcBorders>
              <w:top w:val="single" w:color="auto" w:sz="4" w:space="0"/>
              <w:left w:val="single" w:color="auto" w:sz="4" w:space="0"/>
              <w:bottom w:val="single" w:color="auto" w:sz="4" w:space="0"/>
              <w:right w:val="single" w:color="auto" w:sz="4" w:space="0"/>
            </w:tcBorders>
            <w:vAlign w:val="center"/>
          </w:tcPr>
          <w:p w14:paraId="651069E1">
            <w:pPr>
              <w:pStyle w:val="45"/>
              <w:rPr>
                <w:sz w:val="24"/>
                <w:szCs w:val="24"/>
              </w:rPr>
            </w:pPr>
            <w:r>
              <w:rPr>
                <w:rFonts w:hint="eastAsia"/>
                <w:sz w:val="24"/>
                <w:szCs w:val="24"/>
              </w:rPr>
              <w:t>由供应商对以下内容提供书面承诺或声明，或提供相应证明材料。</w:t>
            </w:r>
          </w:p>
          <w:p w14:paraId="22DF47EA">
            <w:pPr>
              <w:pStyle w:val="45"/>
              <w:rPr>
                <w:sz w:val="24"/>
                <w:szCs w:val="24"/>
              </w:rPr>
            </w:pPr>
            <w:r>
              <w:rPr>
                <w:rFonts w:hint="eastAsia"/>
                <w:sz w:val="24"/>
                <w:szCs w:val="24"/>
              </w:rPr>
              <w:t>（</w:t>
            </w:r>
            <w:r>
              <w:rPr>
                <w:sz w:val="24"/>
                <w:szCs w:val="24"/>
              </w:rPr>
              <w:t>1）供应商依法缴纳税收：本项目公告发布时间前12个月内（至少有1个月）缴纳税收的凭据（完税证、缴款书、印花税票、银行代扣（代缴）转账凭证等均可）；</w:t>
            </w:r>
          </w:p>
          <w:p w14:paraId="45F099AE">
            <w:pPr>
              <w:pStyle w:val="45"/>
              <w:rPr>
                <w:sz w:val="24"/>
                <w:szCs w:val="24"/>
              </w:rPr>
            </w:pPr>
            <w:r>
              <w:rPr>
                <w:rFonts w:hint="eastAsia"/>
                <w:sz w:val="24"/>
                <w:szCs w:val="24"/>
              </w:rPr>
              <w:t>（</w:t>
            </w:r>
            <w:r>
              <w:rPr>
                <w:sz w:val="24"/>
                <w:szCs w:val="24"/>
              </w:rPr>
              <w:t>2）供应商依法缴纳社会保障资金：本项目公告发布时间前12个月内（至少有1个月）缴纳社会保险的凭据（专用收据或社会保险交纳清单）；</w:t>
            </w:r>
          </w:p>
          <w:p w14:paraId="7E26E0C3">
            <w:pPr>
              <w:pStyle w:val="45"/>
              <w:rPr>
                <w:sz w:val="24"/>
                <w:szCs w:val="24"/>
              </w:rPr>
            </w:pPr>
            <w:r>
              <w:rPr>
                <w:rFonts w:hint="eastAsia"/>
                <w:sz w:val="24"/>
                <w:szCs w:val="24"/>
              </w:rPr>
              <w:t>（</w:t>
            </w:r>
            <w:r>
              <w:rPr>
                <w:sz w:val="24"/>
                <w:szCs w:val="24"/>
              </w:rPr>
              <w:t>3）供应商为其他组织或自然人的，也应满足以上要求；</w:t>
            </w:r>
          </w:p>
          <w:p w14:paraId="67EE85FD">
            <w:pPr>
              <w:pStyle w:val="45"/>
              <w:rPr>
                <w:sz w:val="24"/>
                <w:szCs w:val="24"/>
              </w:rPr>
            </w:pPr>
            <w:r>
              <w:rPr>
                <w:rFonts w:hint="eastAsia"/>
                <w:sz w:val="24"/>
                <w:szCs w:val="24"/>
              </w:rPr>
              <w:t>（</w:t>
            </w:r>
            <w:r>
              <w:rPr>
                <w:sz w:val="24"/>
                <w:szCs w:val="24"/>
              </w:rPr>
              <w:t>4）递交投标文件截止时间的当月成立但因税务机关原因导致其尚未依法缴纳税收的供应商，提供将依法缴纳税收承诺书原件（格式自拟），该承诺书视同税收缴纳凭据；</w:t>
            </w:r>
          </w:p>
          <w:p w14:paraId="7A512E54">
            <w:pPr>
              <w:pStyle w:val="45"/>
              <w:rPr>
                <w:sz w:val="24"/>
                <w:szCs w:val="24"/>
              </w:rPr>
            </w:pPr>
            <w:r>
              <w:rPr>
                <w:rFonts w:hint="eastAsia"/>
                <w:sz w:val="24"/>
                <w:szCs w:val="24"/>
              </w:rPr>
              <w:t>（</w:t>
            </w:r>
            <w:r>
              <w:rPr>
                <w:sz w:val="24"/>
                <w:szCs w:val="24"/>
              </w:rPr>
              <w:t>5）递交投标文件截止时间的当月成立但因社会保障资金管理机关原因导致其尚未依法缴纳社会保障资金的供应商，提供将依法缴纳社会保障资金承诺书原件（格式自拟），该承诺书视同社会保险凭据；</w:t>
            </w:r>
          </w:p>
          <w:p w14:paraId="3AA49144">
            <w:pPr>
              <w:pStyle w:val="45"/>
              <w:rPr>
                <w:sz w:val="24"/>
                <w:szCs w:val="24"/>
              </w:rPr>
            </w:pPr>
            <w:r>
              <w:rPr>
                <w:rFonts w:hint="eastAsia"/>
                <w:sz w:val="24"/>
                <w:szCs w:val="24"/>
              </w:rPr>
              <w:t>（</w:t>
            </w:r>
            <w:r>
              <w:rPr>
                <w:sz w:val="24"/>
                <w:szCs w:val="24"/>
              </w:rPr>
              <w:t>6）依法免税或不需要缴纳社会保障资金的供应商，具有相应文件证明其依法免税或不需要交纳社会保障资金。</w:t>
            </w:r>
          </w:p>
        </w:tc>
      </w:tr>
      <w:tr w14:paraId="2589E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09D040A1">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0BE221FF">
            <w:pPr>
              <w:pStyle w:val="45"/>
              <w:jc w:val="both"/>
              <w:rPr>
                <w:sz w:val="24"/>
                <w:szCs w:val="24"/>
              </w:rPr>
            </w:pPr>
            <w:r>
              <w:rPr>
                <w:rFonts w:hint="eastAsia"/>
                <w:sz w:val="24"/>
                <w:szCs w:val="24"/>
              </w:rPr>
              <w:t>参加政府采购活动前三年内，在经营活动中没有重大违法记录</w:t>
            </w:r>
          </w:p>
        </w:tc>
        <w:tc>
          <w:tcPr>
            <w:tcW w:w="0" w:type="auto"/>
            <w:tcBorders>
              <w:top w:val="single" w:color="auto" w:sz="4" w:space="0"/>
              <w:left w:val="single" w:color="auto" w:sz="4" w:space="0"/>
              <w:bottom w:val="single" w:color="auto" w:sz="4" w:space="0"/>
              <w:right w:val="single" w:color="auto" w:sz="4" w:space="0"/>
            </w:tcBorders>
          </w:tcPr>
          <w:p w14:paraId="21267271">
            <w:pPr>
              <w:pStyle w:val="45"/>
              <w:rPr>
                <w:sz w:val="24"/>
                <w:szCs w:val="24"/>
              </w:rPr>
            </w:pPr>
            <w:r>
              <w:rPr>
                <w:rFonts w:hint="eastAsia"/>
                <w:sz w:val="24"/>
                <w:szCs w:val="24"/>
              </w:rPr>
              <w:t>由供应商提供书面承诺或声明，或提供相应证明材料。</w:t>
            </w:r>
          </w:p>
        </w:tc>
      </w:tr>
      <w:tr w14:paraId="56DBF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3A487647">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6B454691">
            <w:pPr>
              <w:pStyle w:val="45"/>
              <w:jc w:val="both"/>
              <w:rPr>
                <w:sz w:val="24"/>
                <w:szCs w:val="24"/>
              </w:rPr>
            </w:pPr>
            <w:r>
              <w:rPr>
                <w:rFonts w:hint="eastAsia"/>
                <w:sz w:val="24"/>
                <w:szCs w:val="24"/>
              </w:rPr>
              <w:t>法律、行政法规规定的其他条件</w:t>
            </w:r>
          </w:p>
        </w:tc>
        <w:tc>
          <w:tcPr>
            <w:tcW w:w="0" w:type="auto"/>
            <w:tcBorders>
              <w:top w:val="single" w:color="auto" w:sz="4" w:space="0"/>
              <w:left w:val="single" w:color="auto" w:sz="4" w:space="0"/>
              <w:bottom w:val="single" w:color="auto" w:sz="4" w:space="0"/>
              <w:right w:val="single" w:color="auto" w:sz="4" w:space="0"/>
            </w:tcBorders>
          </w:tcPr>
          <w:p w14:paraId="37D3808B">
            <w:pPr>
              <w:pStyle w:val="45"/>
              <w:rPr>
                <w:sz w:val="24"/>
                <w:szCs w:val="24"/>
              </w:rPr>
            </w:pPr>
            <w:r>
              <w:rPr>
                <w:rFonts w:hint="eastAsia"/>
                <w:sz w:val="24"/>
                <w:szCs w:val="24"/>
              </w:rPr>
              <w:t>由供应商提供书面承诺或声明，或提供相应证明材料。</w:t>
            </w:r>
          </w:p>
        </w:tc>
      </w:tr>
      <w:tr w14:paraId="6E6DD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814"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066834D5">
            <w:pPr>
              <w:pStyle w:val="45"/>
              <w:numPr>
                <w:ilvl w:val="0"/>
                <w:numId w:val="2"/>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74F2759E">
            <w:pPr>
              <w:pStyle w:val="45"/>
              <w:jc w:val="both"/>
              <w:rPr>
                <w:sz w:val="24"/>
                <w:szCs w:val="24"/>
              </w:rPr>
            </w:pPr>
            <w:r>
              <w:rPr>
                <w:rFonts w:hint="eastAsia"/>
                <w:sz w:val="24"/>
                <w:szCs w:val="24"/>
              </w:rPr>
              <w:t>单位负责人为同一人或者存在直接控股、管理关系的不同供应商，不得参加本项目同一合同项下的政府采购活动</w:t>
            </w:r>
          </w:p>
        </w:tc>
        <w:tc>
          <w:tcPr>
            <w:tcW w:w="2885" w:type="pct"/>
            <w:tcBorders>
              <w:top w:val="single" w:color="auto" w:sz="4" w:space="0"/>
              <w:left w:val="single" w:color="auto" w:sz="4" w:space="0"/>
              <w:bottom w:val="single" w:color="auto" w:sz="4" w:space="0"/>
              <w:right w:val="single" w:color="auto" w:sz="4" w:space="0"/>
            </w:tcBorders>
            <w:vAlign w:val="center"/>
          </w:tcPr>
          <w:p w14:paraId="5F1EC13C">
            <w:pPr>
              <w:pStyle w:val="45"/>
              <w:jc w:val="both"/>
              <w:rPr>
                <w:sz w:val="24"/>
                <w:szCs w:val="24"/>
              </w:rPr>
            </w:pPr>
            <w:r>
              <w:rPr>
                <w:rFonts w:hint="eastAsia"/>
                <w:sz w:val="24"/>
                <w:szCs w:val="24"/>
              </w:rPr>
              <w:t>由供应商在《响应函》中声明</w:t>
            </w:r>
          </w:p>
        </w:tc>
      </w:tr>
      <w:tr w14:paraId="3556B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731"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64A212FF">
            <w:pPr>
              <w:pStyle w:val="45"/>
              <w:numPr>
                <w:ilvl w:val="0"/>
                <w:numId w:val="2"/>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79AF8E45">
            <w:pPr>
              <w:pStyle w:val="45"/>
              <w:jc w:val="both"/>
              <w:rPr>
                <w:sz w:val="24"/>
                <w:szCs w:val="24"/>
              </w:rPr>
            </w:pPr>
            <w:r>
              <w:rPr>
                <w:rFonts w:hint="eastAsia"/>
                <w:sz w:val="24"/>
                <w:szCs w:val="24"/>
              </w:rPr>
              <w:t>为本采购项目提供整体设计、规范编制或者项目管理、监理、检测等服务的，不得再参加本项目的其他招标采购活动。</w:t>
            </w:r>
          </w:p>
        </w:tc>
        <w:tc>
          <w:tcPr>
            <w:tcW w:w="2885" w:type="pct"/>
            <w:tcBorders>
              <w:top w:val="single" w:color="auto" w:sz="4" w:space="0"/>
              <w:left w:val="single" w:color="auto" w:sz="4" w:space="0"/>
              <w:bottom w:val="single" w:color="auto" w:sz="4" w:space="0"/>
              <w:right w:val="single" w:color="auto" w:sz="4" w:space="0"/>
            </w:tcBorders>
            <w:vAlign w:val="center"/>
          </w:tcPr>
          <w:p w14:paraId="0808C3F2">
            <w:pPr>
              <w:pStyle w:val="45"/>
              <w:jc w:val="both"/>
              <w:rPr>
                <w:sz w:val="24"/>
                <w:szCs w:val="24"/>
              </w:rPr>
            </w:pPr>
            <w:r>
              <w:rPr>
                <w:rFonts w:hint="eastAsia"/>
                <w:sz w:val="24"/>
                <w:szCs w:val="24"/>
              </w:rPr>
              <w:t>由供应商在《响应函》中声明</w:t>
            </w:r>
          </w:p>
        </w:tc>
      </w:tr>
      <w:tr w14:paraId="50B61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3586"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3E9061D0">
            <w:pPr>
              <w:pStyle w:val="45"/>
              <w:numPr>
                <w:ilvl w:val="0"/>
                <w:numId w:val="2"/>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6C4AE6E8">
            <w:pPr>
              <w:pStyle w:val="45"/>
              <w:jc w:val="both"/>
              <w:rPr>
                <w:sz w:val="24"/>
                <w:szCs w:val="24"/>
              </w:rPr>
            </w:pPr>
            <w:r>
              <w:rPr>
                <w:rFonts w:hint="eastAsia"/>
                <w:sz w:val="24"/>
                <w:szCs w:val="24"/>
              </w:rPr>
              <w:t>未被列入失信被执行人、“重大税收违法失信主体”，未被列入政府采购严重违法失信行为记录名单。</w:t>
            </w:r>
          </w:p>
        </w:tc>
        <w:tc>
          <w:tcPr>
            <w:tcW w:w="2885" w:type="pct"/>
            <w:tcBorders>
              <w:top w:val="single" w:color="auto" w:sz="4" w:space="0"/>
              <w:left w:val="single" w:color="auto" w:sz="4" w:space="0"/>
              <w:bottom w:val="single" w:color="auto" w:sz="4" w:space="0"/>
              <w:right w:val="single" w:color="auto" w:sz="4" w:space="0"/>
            </w:tcBorders>
            <w:vAlign w:val="center"/>
          </w:tcPr>
          <w:p w14:paraId="28200BDC">
            <w:pPr>
              <w:pStyle w:val="45"/>
              <w:rPr>
                <w:sz w:val="24"/>
                <w:szCs w:val="24"/>
              </w:rPr>
            </w:pPr>
            <w:r>
              <w:rPr>
                <w:rFonts w:hint="eastAsia"/>
                <w:sz w:val="24"/>
                <w:szCs w:val="24"/>
              </w:rPr>
              <w:t>供应商提供本项目竞争性磋商公告发布后的“信用中国”网站（www.creditchina.gov.cn)失信被执行人、重大税收违法失信主体、政府采购严重违法失信行为记录名单和“中国政府采购”网站（www.ccgp.gov.cn）政府采购严重违法失信行为记录名单查询记录网络截图并加盖供应商公章，以采购人和采购代理机构在响应文件递交截止日在“信用中国”网站（www.creditchina.gov.cn）及中国政府采购网(www.ccgp.gov.cn)查询的供应商参加政府采购活动前三年内的结果为准。</w:t>
            </w:r>
          </w:p>
        </w:tc>
      </w:tr>
      <w:tr w14:paraId="76738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437C54B0">
            <w:pPr>
              <w:pStyle w:val="45"/>
              <w:numPr>
                <w:ilvl w:val="0"/>
                <w:numId w:val="2"/>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52FFFD57">
            <w:pPr>
              <w:pStyle w:val="45"/>
              <w:rPr>
                <w:rFonts w:hint="eastAsia"/>
                <w:sz w:val="24"/>
                <w:szCs w:val="24"/>
              </w:rPr>
            </w:pPr>
            <w:r>
              <w:rPr>
                <w:rFonts w:hint="eastAsia"/>
                <w:sz w:val="24"/>
                <w:szCs w:val="24"/>
              </w:rPr>
              <w:t>落实政府采购政策需满足的资格要求</w:t>
            </w:r>
          </w:p>
        </w:tc>
        <w:tc>
          <w:tcPr>
            <w:tcW w:w="2885" w:type="pct"/>
            <w:tcBorders>
              <w:top w:val="single" w:color="auto" w:sz="4" w:space="0"/>
              <w:left w:val="single" w:color="auto" w:sz="4" w:space="0"/>
              <w:bottom w:val="single" w:color="auto" w:sz="4" w:space="0"/>
              <w:right w:val="single" w:color="auto" w:sz="4" w:space="0"/>
            </w:tcBorders>
            <w:vAlign w:val="center"/>
          </w:tcPr>
          <w:p w14:paraId="2DBFA88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1）中小微企业政策：本政府采购项目是专门面向中小微企业，本项目企业划分标准所属行业为“农、林、牧、渔业”（提供的服务应全部由符合政策要求的中小微企业承接，供应商需提供相应中小微企业声明函）。</w:t>
            </w:r>
          </w:p>
          <w:p w14:paraId="6FD9255F">
            <w:pPr>
              <w:pStyle w:val="45"/>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ascii="宋体" w:hAnsi="宋体" w:eastAsia="宋体" w:cstheme="minorBidi"/>
                <w:kern w:val="2"/>
                <w:sz w:val="24"/>
                <w:szCs w:val="24"/>
                <w:lang w:val="en-US" w:eastAsia="zh-CN" w:bidi="ar-SA"/>
              </w:rPr>
              <w:t>（2）其他落实政府采购政策的资格要求：落实政府采购强制、优先采购节能产品政策；政府采购优先采购环保产品政策；政府采购促进中小微企业发展（监狱企业、残疾人福利性单位视同小微企业）等政策。</w:t>
            </w:r>
          </w:p>
        </w:tc>
      </w:tr>
      <w:tr w14:paraId="7E53A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43"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2D05DEF3">
            <w:pPr>
              <w:pStyle w:val="45"/>
              <w:numPr>
                <w:ilvl w:val="0"/>
                <w:numId w:val="2"/>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61CD06DB">
            <w:pPr>
              <w:pStyle w:val="45"/>
              <w:jc w:val="both"/>
              <w:rPr>
                <w:sz w:val="24"/>
                <w:szCs w:val="24"/>
              </w:rPr>
            </w:pPr>
            <w:r>
              <w:rPr>
                <w:rFonts w:hint="eastAsia"/>
                <w:sz w:val="24"/>
                <w:szCs w:val="24"/>
              </w:rPr>
              <w:t>本项目的特定资格要求</w:t>
            </w:r>
          </w:p>
        </w:tc>
        <w:tc>
          <w:tcPr>
            <w:tcW w:w="2885" w:type="pct"/>
            <w:tcBorders>
              <w:top w:val="single" w:color="auto" w:sz="4" w:space="0"/>
              <w:left w:val="single" w:color="auto" w:sz="4" w:space="0"/>
              <w:bottom w:val="single" w:color="auto" w:sz="4" w:space="0"/>
              <w:right w:val="single" w:color="auto" w:sz="4" w:space="0"/>
            </w:tcBorders>
            <w:vAlign w:val="center"/>
          </w:tcPr>
          <w:p w14:paraId="66596EF5">
            <w:pPr>
              <w:pStyle w:val="45"/>
              <w:jc w:val="both"/>
              <w:rPr>
                <w:rFonts w:hint="eastAsia" w:eastAsia="宋体"/>
                <w:sz w:val="24"/>
                <w:szCs w:val="24"/>
                <w:lang w:val="en-US" w:eastAsia="zh-CN"/>
              </w:rPr>
            </w:pPr>
            <w:r>
              <w:rPr>
                <w:rFonts w:hint="eastAsia" w:ascii="宋体" w:hAnsi="宋体" w:cs="宋体"/>
                <w:color w:val="auto"/>
                <w:sz w:val="24"/>
                <w:szCs w:val="24"/>
                <w:lang w:val="en-US" w:eastAsia="zh-CN"/>
              </w:rPr>
              <w:t>供应商须具有有效的营业执照，具有林业有害生物防治相关经营范围。</w:t>
            </w:r>
          </w:p>
        </w:tc>
      </w:tr>
      <w:bookmarkEnd w:id="45"/>
    </w:tbl>
    <w:p w14:paraId="07AF14DC">
      <w:pPr>
        <w:pageBreakBefore w:val="0"/>
        <w:widowControl w:val="0"/>
        <w:kinsoku/>
        <w:overflowPunct/>
        <w:topLinePunct w:val="0"/>
        <w:autoSpaceDE/>
        <w:autoSpaceDN/>
        <w:bidi w:val="0"/>
        <w:adjustRightInd/>
        <w:snapToGrid/>
        <w:spacing w:line="360" w:lineRule="auto"/>
        <w:ind w:left="0" w:firstLine="482" w:firstLineChars="200"/>
        <w:textAlignment w:val="auto"/>
        <w:rPr>
          <w:b/>
          <w:bCs/>
          <w:sz w:val="24"/>
          <w:szCs w:val="24"/>
        </w:rPr>
      </w:pPr>
      <w:r>
        <w:rPr>
          <w:rFonts w:hint="eastAsia"/>
          <w:b/>
          <w:bCs/>
          <w:sz w:val="24"/>
          <w:szCs w:val="24"/>
        </w:rPr>
        <w:t>备注：</w:t>
      </w:r>
    </w:p>
    <w:p w14:paraId="6FDB1DF7">
      <w:pPr>
        <w:pStyle w:val="39"/>
        <w:pageBreakBefore w:val="0"/>
        <w:widowControl w:val="0"/>
        <w:numPr>
          <w:ilvl w:val="0"/>
          <w:numId w:val="0"/>
        </w:numPr>
        <w:kinsoku/>
        <w:overflowPunct/>
        <w:topLinePunct w:val="0"/>
        <w:autoSpaceDE/>
        <w:autoSpaceDN/>
        <w:bidi w:val="0"/>
        <w:adjustRightInd/>
        <w:snapToGrid/>
        <w:spacing w:line="360" w:lineRule="auto"/>
        <w:ind w:left="0" w:leftChars="0" w:firstLine="480" w:firstLineChars="200"/>
        <w:textAlignment w:val="auto"/>
        <w:rPr>
          <w:sz w:val="24"/>
          <w:szCs w:val="24"/>
        </w:rPr>
      </w:pPr>
      <w:r>
        <w:rPr>
          <w:rFonts w:ascii="Calibri" w:hAnsi="Calibri" w:eastAsia="宋体" w:cs="Times New Roman"/>
          <w:kern w:val="2"/>
          <w:sz w:val="24"/>
          <w:szCs w:val="24"/>
          <w:lang w:val="en-US" w:eastAsia="zh-CN" w:bidi="ar-SA"/>
        </w:rPr>
        <w:t>1.</w:t>
      </w:r>
      <w:r>
        <w:rPr>
          <w:rFonts w:hint="eastAsia"/>
          <w:sz w:val="24"/>
          <w:szCs w:val="24"/>
        </w:rPr>
        <w:t>资格证明文件应为原件的扫描件或复印件，响应文件中须编入清晰的扫描件或复印件。所有证明材料须清晰可辨认，如因证明材料模糊无法辨认，缺页、漏页导致无法进行评审认定的责任由供应商自负。</w:t>
      </w:r>
    </w:p>
    <w:p w14:paraId="7D213923">
      <w:pPr>
        <w:pStyle w:val="39"/>
        <w:pageBreakBefore w:val="0"/>
        <w:widowControl w:val="0"/>
        <w:numPr>
          <w:ilvl w:val="0"/>
          <w:numId w:val="0"/>
        </w:numPr>
        <w:kinsoku/>
        <w:overflowPunct/>
        <w:topLinePunct w:val="0"/>
        <w:autoSpaceDE/>
        <w:autoSpaceDN/>
        <w:bidi w:val="0"/>
        <w:adjustRightInd/>
        <w:snapToGrid/>
        <w:spacing w:line="360" w:lineRule="auto"/>
        <w:ind w:left="0" w:leftChars="0" w:firstLine="480" w:firstLineChars="200"/>
        <w:textAlignment w:val="auto"/>
        <w:rPr>
          <w:sz w:val="24"/>
          <w:szCs w:val="24"/>
        </w:rPr>
      </w:pPr>
      <w:r>
        <w:rPr>
          <w:rFonts w:ascii="Calibri" w:hAnsi="Calibri" w:eastAsia="宋体" w:cs="Times New Roman"/>
          <w:kern w:val="2"/>
          <w:sz w:val="24"/>
          <w:szCs w:val="24"/>
          <w:lang w:val="en-US" w:eastAsia="zh-CN" w:bidi="ar-SA"/>
        </w:rPr>
        <w:t>2.</w:t>
      </w:r>
      <w:r>
        <w:rPr>
          <w:rFonts w:hint="eastAsia"/>
          <w:sz w:val="24"/>
          <w:szCs w:val="24"/>
          <w:lang w:val="zh-CN"/>
        </w:rPr>
        <w:t>信用信息核</w:t>
      </w:r>
      <w:r>
        <w:rPr>
          <w:rFonts w:hint="eastAsia"/>
          <w:sz w:val="24"/>
          <w:szCs w:val="24"/>
        </w:rPr>
        <w:t>查</w:t>
      </w:r>
    </w:p>
    <w:p w14:paraId="777F7ACE">
      <w:pPr>
        <w:pStyle w:val="44"/>
        <w:pageBreakBefore w:val="0"/>
        <w:widowControl w:val="0"/>
        <w:kinsoku/>
        <w:overflowPunct/>
        <w:topLinePunct w:val="0"/>
        <w:autoSpaceDE/>
        <w:autoSpaceDN/>
        <w:bidi w:val="0"/>
        <w:adjustRightInd/>
        <w:snapToGrid/>
        <w:spacing w:line="360" w:lineRule="auto"/>
        <w:ind w:left="0" w:firstLine="480" w:firstLineChars="200"/>
        <w:textAlignment w:val="auto"/>
        <w:rPr>
          <w:sz w:val="24"/>
          <w:szCs w:val="24"/>
        </w:rPr>
      </w:pPr>
      <w:r>
        <w:rPr>
          <w:rFonts w:hint="eastAsia"/>
          <w:sz w:val="24"/>
          <w:szCs w:val="24"/>
        </w:rPr>
        <w:t>2.1资格审查当日应当核查供应商信用记录，供应商被列入失信被执行人、重大税收违法失信主体、政府采购严重违法失信行为记录名单的，采购代理机构拒绝其参与政府采购活动。</w:t>
      </w:r>
    </w:p>
    <w:p w14:paraId="7C7783D2">
      <w:pPr>
        <w:pStyle w:val="44"/>
        <w:pageBreakBefore w:val="0"/>
        <w:widowControl w:val="0"/>
        <w:kinsoku/>
        <w:overflowPunct/>
        <w:topLinePunct w:val="0"/>
        <w:autoSpaceDE/>
        <w:autoSpaceDN/>
        <w:bidi w:val="0"/>
        <w:adjustRightInd/>
        <w:snapToGrid/>
        <w:spacing w:line="360" w:lineRule="auto"/>
        <w:ind w:left="0" w:firstLine="480" w:firstLineChars="200"/>
        <w:textAlignment w:val="auto"/>
        <w:rPr>
          <w:sz w:val="24"/>
          <w:szCs w:val="24"/>
        </w:rPr>
      </w:pPr>
      <w:r>
        <w:rPr>
          <w:rFonts w:hint="eastAsia"/>
          <w:sz w:val="24"/>
          <w:szCs w:val="24"/>
        </w:rPr>
        <w:t>2.2以联合体形式参与磋商的，应当核查联合体所有成员和信用记录，联合体成员存在不良信用记录的，视同联合体存在不良信用信息。</w:t>
      </w:r>
    </w:p>
    <w:p w14:paraId="1126E4D3">
      <w:pPr>
        <w:pStyle w:val="39"/>
        <w:pageBreakBefore w:val="0"/>
        <w:widowControl w:val="0"/>
        <w:numPr>
          <w:ilvl w:val="0"/>
          <w:numId w:val="0"/>
        </w:numPr>
        <w:kinsoku/>
        <w:overflowPunct/>
        <w:topLinePunct w:val="0"/>
        <w:autoSpaceDE/>
        <w:autoSpaceDN/>
        <w:bidi w:val="0"/>
        <w:adjustRightInd/>
        <w:snapToGrid/>
        <w:spacing w:line="360" w:lineRule="auto"/>
        <w:ind w:left="0" w:leftChars="0" w:firstLine="480" w:firstLineChars="200"/>
        <w:textAlignment w:val="auto"/>
        <w:rPr>
          <w:sz w:val="24"/>
          <w:szCs w:val="24"/>
        </w:rPr>
      </w:pPr>
      <w:r>
        <w:rPr>
          <w:rFonts w:ascii="Calibri" w:hAnsi="Calibri" w:eastAsia="宋体" w:cs="Times New Roman"/>
          <w:kern w:val="2"/>
          <w:sz w:val="24"/>
          <w:szCs w:val="24"/>
          <w:lang w:val="en-US" w:eastAsia="zh-CN" w:bidi="ar-SA"/>
        </w:rPr>
        <w:t>3.</w:t>
      </w:r>
      <w:r>
        <w:rPr>
          <w:rFonts w:hint="eastAsia"/>
          <w:sz w:val="24"/>
          <w:szCs w:val="24"/>
        </w:rPr>
        <w:t>对于响应文件中有任意一条不满足上表要求的将导致其</w:t>
      </w:r>
      <w:r>
        <w:rPr>
          <w:rFonts w:hint="eastAsia"/>
          <w:b/>
          <w:bCs/>
          <w:sz w:val="24"/>
          <w:szCs w:val="24"/>
        </w:rPr>
        <w:t>响应无效</w:t>
      </w:r>
      <w:r>
        <w:rPr>
          <w:rFonts w:hint="eastAsia"/>
          <w:sz w:val="24"/>
          <w:szCs w:val="24"/>
        </w:rPr>
        <w:t>，不进入下一项评审。</w:t>
      </w:r>
    </w:p>
    <w:p w14:paraId="1FAB004F">
      <w:pPr>
        <w:pStyle w:val="5"/>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0" w:leftChars="0" w:firstLine="482" w:firstLineChars="200"/>
        <w:textAlignment w:val="auto"/>
        <w:rPr>
          <w:rFonts w:hint="eastAsia" w:ascii="宋体" w:hAnsi="宋体" w:eastAsia="宋体" w:cstheme="minorBidi"/>
          <w:b/>
          <w:bCs/>
          <w:kern w:val="2"/>
          <w:sz w:val="24"/>
          <w:szCs w:val="24"/>
          <w:lang w:val="en-US" w:eastAsia="zh-CN" w:bidi="ar-SA"/>
        </w:rPr>
        <w:sectPr>
          <w:footerReference r:id="rId4" w:type="default"/>
          <w:pgSz w:w="11906" w:h="16838"/>
          <w:pgMar w:top="1417" w:right="1701" w:bottom="1417" w:left="1701" w:header="851" w:footer="992" w:gutter="0"/>
          <w:cols w:space="425" w:num="1"/>
          <w:docGrid w:type="lines" w:linePitch="312" w:charSpace="0"/>
        </w:sectPr>
      </w:pPr>
    </w:p>
    <w:p w14:paraId="1552D9F9">
      <w:pPr>
        <w:widowControl/>
        <w:jc w:val="both"/>
        <w:outlineLvl w:val="0"/>
        <w:rPr>
          <w:rFonts w:hint="eastAsia" w:ascii="Arial" w:hAnsi="Arial" w:eastAsia="宋体" w:cs="Arial"/>
          <w:b/>
          <w:bCs/>
          <w:color w:val="000000"/>
          <w:kern w:val="0"/>
          <w:sz w:val="30"/>
          <w:szCs w:val="30"/>
          <w:lang w:val="en-US" w:eastAsia="zh-CN" w:bidi="ar-SA"/>
        </w:rPr>
      </w:pPr>
      <w:r>
        <w:rPr>
          <w:rFonts w:hint="eastAsia" w:ascii="Arial" w:hAnsi="Arial" w:eastAsia="宋体" w:cs="Arial"/>
          <w:b/>
          <w:bCs/>
          <w:color w:val="000000"/>
          <w:kern w:val="0"/>
          <w:sz w:val="30"/>
          <w:szCs w:val="30"/>
          <w:lang w:val="en-US" w:eastAsia="zh-CN" w:bidi="ar-SA"/>
        </w:rPr>
        <w:t>（</w:t>
      </w:r>
      <w:r>
        <w:rPr>
          <w:rFonts w:hint="eastAsia" w:ascii="Arial" w:hAnsi="Arial" w:cs="Arial"/>
          <w:b/>
          <w:bCs/>
          <w:color w:val="000000"/>
          <w:kern w:val="0"/>
          <w:sz w:val="30"/>
          <w:szCs w:val="30"/>
          <w:lang w:val="en-US" w:eastAsia="zh-CN" w:bidi="ar-SA"/>
        </w:rPr>
        <w:t>二</w:t>
      </w:r>
      <w:r>
        <w:rPr>
          <w:rFonts w:hint="eastAsia" w:ascii="Arial" w:hAnsi="Arial" w:eastAsia="宋体" w:cs="Arial"/>
          <w:b/>
          <w:bCs/>
          <w:color w:val="000000"/>
          <w:kern w:val="0"/>
          <w:sz w:val="30"/>
          <w:szCs w:val="30"/>
          <w:lang w:val="en-US" w:eastAsia="zh-CN" w:bidi="ar-SA"/>
        </w:rPr>
        <w:t>）评分标准</w:t>
      </w:r>
    </w:p>
    <w:tbl>
      <w:tblPr>
        <w:tblStyle w:val="19"/>
        <w:tblW w:w="932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94"/>
        <w:gridCol w:w="1485"/>
        <w:gridCol w:w="954"/>
        <w:gridCol w:w="5893"/>
      </w:tblGrid>
      <w:tr w14:paraId="165EDF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jc w:val="center"/>
        </w:trPr>
        <w:tc>
          <w:tcPr>
            <w:tcW w:w="994" w:type="dxa"/>
            <w:vMerge w:val="restart"/>
            <w:tcBorders>
              <w:top w:val="single" w:color="auto" w:sz="4" w:space="0"/>
              <w:left w:val="single" w:color="auto" w:sz="4" w:space="0"/>
              <w:bottom w:val="single" w:color="auto" w:sz="4" w:space="0"/>
              <w:right w:val="single" w:color="auto" w:sz="4" w:space="0"/>
            </w:tcBorders>
            <w:vAlign w:val="center"/>
          </w:tcPr>
          <w:p w14:paraId="0C7452B0">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b/>
                <w:color w:val="auto"/>
                <w:spacing w:val="-6"/>
                <w:sz w:val="24"/>
                <w:szCs w:val="24"/>
              </w:rPr>
            </w:pPr>
            <w:r>
              <w:rPr>
                <w:rFonts w:hint="eastAsia" w:ascii="宋体" w:hAnsi="宋体" w:eastAsia="宋体" w:cs="宋体"/>
                <w:b/>
                <w:color w:val="auto"/>
                <w:spacing w:val="-6"/>
                <w:sz w:val="24"/>
                <w:szCs w:val="24"/>
              </w:rPr>
              <w:t>项目</w:t>
            </w:r>
          </w:p>
        </w:tc>
        <w:tc>
          <w:tcPr>
            <w:tcW w:w="1485" w:type="dxa"/>
            <w:vMerge w:val="restart"/>
            <w:tcBorders>
              <w:top w:val="single" w:color="auto" w:sz="4" w:space="0"/>
              <w:left w:val="single" w:color="auto" w:sz="4" w:space="0"/>
              <w:bottom w:val="single" w:color="auto" w:sz="4" w:space="0"/>
              <w:right w:val="single" w:color="auto" w:sz="4" w:space="0"/>
            </w:tcBorders>
            <w:vAlign w:val="center"/>
          </w:tcPr>
          <w:p w14:paraId="38F0B6E3">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b/>
                <w:color w:val="auto"/>
                <w:spacing w:val="-6"/>
                <w:sz w:val="24"/>
                <w:szCs w:val="24"/>
              </w:rPr>
            </w:pPr>
            <w:r>
              <w:rPr>
                <w:rFonts w:hint="eastAsia" w:ascii="宋体" w:hAnsi="宋体" w:eastAsia="宋体" w:cs="宋体"/>
                <w:b/>
                <w:color w:val="auto"/>
                <w:spacing w:val="-6"/>
                <w:sz w:val="24"/>
                <w:szCs w:val="24"/>
              </w:rPr>
              <w:t>评标分项</w:t>
            </w:r>
          </w:p>
        </w:tc>
        <w:tc>
          <w:tcPr>
            <w:tcW w:w="954" w:type="dxa"/>
            <w:vMerge w:val="restart"/>
            <w:tcBorders>
              <w:top w:val="single" w:color="auto" w:sz="4" w:space="0"/>
              <w:left w:val="single" w:color="auto" w:sz="4" w:space="0"/>
              <w:bottom w:val="single" w:color="auto" w:sz="4" w:space="0"/>
              <w:right w:val="single" w:color="auto" w:sz="4" w:space="0"/>
            </w:tcBorders>
            <w:vAlign w:val="center"/>
          </w:tcPr>
          <w:p w14:paraId="764470A1">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b/>
                <w:color w:val="auto"/>
                <w:spacing w:val="-6"/>
                <w:sz w:val="24"/>
                <w:szCs w:val="24"/>
              </w:rPr>
            </w:pPr>
            <w:r>
              <w:rPr>
                <w:rFonts w:hint="eastAsia" w:ascii="宋体" w:hAnsi="宋体" w:eastAsia="宋体" w:cs="宋体"/>
                <w:b/>
                <w:color w:val="auto"/>
                <w:spacing w:val="-6"/>
                <w:sz w:val="24"/>
                <w:szCs w:val="24"/>
              </w:rPr>
              <w:t>满分值</w:t>
            </w:r>
          </w:p>
        </w:tc>
        <w:tc>
          <w:tcPr>
            <w:tcW w:w="5893" w:type="dxa"/>
            <w:vMerge w:val="restart"/>
            <w:tcBorders>
              <w:top w:val="single" w:color="auto" w:sz="4" w:space="0"/>
              <w:left w:val="single" w:color="auto" w:sz="4" w:space="0"/>
              <w:bottom w:val="single" w:color="auto" w:sz="4" w:space="0"/>
              <w:right w:val="single" w:color="auto" w:sz="4" w:space="0"/>
            </w:tcBorders>
            <w:vAlign w:val="center"/>
          </w:tcPr>
          <w:p w14:paraId="53AE27ED">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b/>
                <w:color w:val="auto"/>
                <w:spacing w:val="-6"/>
                <w:sz w:val="24"/>
                <w:szCs w:val="24"/>
              </w:rPr>
            </w:pPr>
            <w:r>
              <w:rPr>
                <w:rFonts w:hint="eastAsia" w:ascii="宋体" w:hAnsi="宋体" w:eastAsia="宋体" w:cs="宋体"/>
                <w:b/>
                <w:color w:val="auto"/>
                <w:spacing w:val="-6"/>
                <w:sz w:val="24"/>
                <w:szCs w:val="24"/>
              </w:rPr>
              <w:t>评分标准</w:t>
            </w:r>
          </w:p>
        </w:tc>
      </w:tr>
      <w:tr w14:paraId="08950D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jc w:val="center"/>
        </w:trPr>
        <w:tc>
          <w:tcPr>
            <w:tcW w:w="994" w:type="dxa"/>
            <w:vMerge w:val="continue"/>
            <w:tcBorders>
              <w:top w:val="single" w:color="auto" w:sz="4" w:space="0"/>
              <w:left w:val="single" w:color="auto" w:sz="4" w:space="0"/>
              <w:bottom w:val="single" w:color="auto" w:sz="4" w:space="0"/>
              <w:right w:val="single" w:color="auto" w:sz="4" w:space="0"/>
            </w:tcBorders>
            <w:vAlign w:val="center"/>
          </w:tcPr>
          <w:p w14:paraId="2DC2AF53">
            <w:pPr>
              <w:keepNext w:val="0"/>
              <w:keepLines w:val="0"/>
              <w:pageBreakBefore w:val="0"/>
              <w:kinsoku/>
              <w:wordWrap/>
              <w:overflowPunct/>
              <w:topLinePunct w:val="0"/>
              <w:bidi w:val="0"/>
              <w:adjustRightInd/>
              <w:snapToGrid/>
              <w:spacing w:line="360" w:lineRule="exact"/>
              <w:ind w:left="0" w:right="0"/>
              <w:textAlignment w:val="auto"/>
              <w:rPr>
                <w:rFonts w:hint="eastAsia" w:ascii="宋体" w:hAnsi="宋体" w:eastAsia="宋体" w:cs="宋体"/>
                <w:color w:val="auto"/>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48957EFE">
            <w:pPr>
              <w:keepNext w:val="0"/>
              <w:keepLines w:val="0"/>
              <w:pageBreakBefore w:val="0"/>
              <w:kinsoku/>
              <w:wordWrap/>
              <w:overflowPunct/>
              <w:topLinePunct w:val="0"/>
              <w:bidi w:val="0"/>
              <w:adjustRightInd/>
              <w:snapToGrid/>
              <w:spacing w:line="360" w:lineRule="exact"/>
              <w:ind w:left="0" w:right="0"/>
              <w:textAlignment w:val="auto"/>
              <w:rPr>
                <w:rFonts w:hint="eastAsia" w:ascii="宋体" w:hAnsi="宋体" w:eastAsia="宋体" w:cs="宋体"/>
                <w:color w:val="auto"/>
                <w:sz w:val="24"/>
                <w:szCs w:val="24"/>
              </w:rPr>
            </w:pPr>
          </w:p>
        </w:tc>
        <w:tc>
          <w:tcPr>
            <w:tcW w:w="954" w:type="dxa"/>
            <w:vMerge w:val="continue"/>
            <w:tcBorders>
              <w:top w:val="single" w:color="auto" w:sz="4" w:space="0"/>
              <w:left w:val="single" w:color="auto" w:sz="4" w:space="0"/>
              <w:bottom w:val="single" w:color="auto" w:sz="4" w:space="0"/>
              <w:right w:val="single" w:color="auto" w:sz="4" w:space="0"/>
            </w:tcBorders>
            <w:vAlign w:val="center"/>
          </w:tcPr>
          <w:p w14:paraId="1761B85B">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z w:val="24"/>
                <w:szCs w:val="24"/>
              </w:rPr>
            </w:pPr>
          </w:p>
        </w:tc>
        <w:tc>
          <w:tcPr>
            <w:tcW w:w="5893" w:type="dxa"/>
            <w:vMerge w:val="continue"/>
            <w:tcBorders>
              <w:top w:val="single" w:color="auto" w:sz="4" w:space="0"/>
              <w:left w:val="single" w:color="auto" w:sz="4" w:space="0"/>
              <w:bottom w:val="single" w:color="auto" w:sz="4" w:space="0"/>
              <w:right w:val="single" w:color="auto" w:sz="4" w:space="0"/>
            </w:tcBorders>
            <w:vAlign w:val="center"/>
          </w:tcPr>
          <w:p w14:paraId="5015F317">
            <w:pPr>
              <w:keepNext w:val="0"/>
              <w:keepLines w:val="0"/>
              <w:pageBreakBefore w:val="0"/>
              <w:kinsoku/>
              <w:wordWrap/>
              <w:overflowPunct/>
              <w:topLinePunct w:val="0"/>
              <w:bidi w:val="0"/>
              <w:adjustRightInd/>
              <w:snapToGrid/>
              <w:spacing w:line="360" w:lineRule="exact"/>
              <w:ind w:left="0" w:right="0"/>
              <w:textAlignment w:val="auto"/>
              <w:rPr>
                <w:rFonts w:hint="eastAsia" w:ascii="宋体" w:hAnsi="宋体" w:eastAsia="宋体" w:cs="宋体"/>
                <w:color w:val="auto"/>
                <w:sz w:val="24"/>
                <w:szCs w:val="24"/>
              </w:rPr>
            </w:pPr>
          </w:p>
        </w:tc>
      </w:tr>
      <w:tr w14:paraId="39FE07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30" w:hRule="atLeast"/>
          <w:jc w:val="center"/>
        </w:trPr>
        <w:tc>
          <w:tcPr>
            <w:tcW w:w="994" w:type="dxa"/>
            <w:tcBorders>
              <w:top w:val="single" w:color="auto" w:sz="4" w:space="0"/>
              <w:left w:val="single" w:color="auto" w:sz="4" w:space="0"/>
              <w:bottom w:val="single" w:color="auto" w:sz="4" w:space="0"/>
              <w:right w:val="single" w:color="auto" w:sz="4" w:space="0"/>
            </w:tcBorders>
            <w:vAlign w:val="center"/>
          </w:tcPr>
          <w:p w14:paraId="2E35324A">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价格</w:t>
            </w:r>
          </w:p>
          <w:p w14:paraId="1ECE6D77">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15</w:t>
            </w:r>
            <w:r>
              <w:rPr>
                <w:rFonts w:hint="eastAsia" w:ascii="宋体" w:hAnsi="宋体" w:eastAsia="宋体" w:cs="宋体"/>
                <w:color w:val="auto"/>
                <w:sz w:val="24"/>
                <w:szCs w:val="24"/>
              </w:rPr>
              <w:t>分</w:t>
            </w:r>
          </w:p>
        </w:tc>
        <w:tc>
          <w:tcPr>
            <w:tcW w:w="1485" w:type="dxa"/>
            <w:tcBorders>
              <w:top w:val="single" w:color="auto" w:sz="4" w:space="0"/>
              <w:left w:val="single" w:color="auto" w:sz="4" w:space="0"/>
              <w:bottom w:val="single" w:color="auto" w:sz="4" w:space="0"/>
              <w:right w:val="single" w:color="auto" w:sz="4" w:space="0"/>
            </w:tcBorders>
            <w:vAlign w:val="center"/>
          </w:tcPr>
          <w:p w14:paraId="0574D1C3">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投标报价</w:t>
            </w:r>
          </w:p>
        </w:tc>
        <w:tc>
          <w:tcPr>
            <w:tcW w:w="954" w:type="dxa"/>
            <w:tcBorders>
              <w:top w:val="single" w:color="auto" w:sz="4" w:space="0"/>
              <w:left w:val="single" w:color="auto" w:sz="4" w:space="0"/>
              <w:bottom w:val="single" w:color="auto" w:sz="4" w:space="0"/>
              <w:right w:val="single" w:color="auto" w:sz="4" w:space="0"/>
            </w:tcBorders>
            <w:vAlign w:val="center"/>
          </w:tcPr>
          <w:p w14:paraId="0D4ED247">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15</w:t>
            </w:r>
            <w:r>
              <w:rPr>
                <w:rFonts w:hint="eastAsia" w:ascii="宋体" w:hAnsi="宋体" w:eastAsia="宋体" w:cs="宋体"/>
                <w:color w:val="auto"/>
                <w:sz w:val="24"/>
                <w:szCs w:val="24"/>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6ABAABDF">
            <w:pPr>
              <w:keepNext w:val="0"/>
              <w:keepLines w:val="0"/>
              <w:pageBreakBefore w:val="0"/>
              <w:widowControl w:val="0"/>
              <w:tabs>
                <w:tab w:val="left" w:pos="655"/>
              </w:tabs>
              <w:kinsoku/>
              <w:wordWrap/>
              <w:overflowPunct/>
              <w:topLinePunct w:val="0"/>
              <w:autoSpaceDE/>
              <w:autoSpaceDN/>
              <w:bidi w:val="0"/>
              <w:adjustRightInd/>
              <w:snapToGrid/>
              <w:spacing w:line="360" w:lineRule="exact"/>
              <w:ind w:left="0" w:right="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满足招标文件要求且投标价格最低的投标报价为评标基准价，其价格分为满分。</w:t>
            </w:r>
          </w:p>
          <w:p w14:paraId="72DCD3FA">
            <w:pPr>
              <w:keepNext w:val="0"/>
              <w:keepLines w:val="0"/>
              <w:pageBreakBefore w:val="0"/>
              <w:widowControl w:val="0"/>
              <w:tabs>
                <w:tab w:val="left" w:pos="655"/>
              </w:tabs>
              <w:kinsoku/>
              <w:wordWrap/>
              <w:overflowPunct/>
              <w:topLinePunct w:val="0"/>
              <w:autoSpaceDE/>
              <w:autoSpaceDN/>
              <w:bidi w:val="0"/>
              <w:adjustRightInd/>
              <w:snapToGrid/>
              <w:spacing w:line="360" w:lineRule="exact"/>
              <w:ind w:left="0" w:right="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rPr>
              <w:t>其他合格投标人的投标报价得分按如下公式计算：</w:t>
            </w:r>
          </w:p>
          <w:p w14:paraId="6580A9A1">
            <w:pPr>
              <w:keepNext w:val="0"/>
              <w:keepLines w:val="0"/>
              <w:pageBreakBefore w:val="0"/>
              <w:widowControl w:val="0"/>
              <w:tabs>
                <w:tab w:val="left" w:pos="655"/>
              </w:tabs>
              <w:kinsoku/>
              <w:wordWrap/>
              <w:overflowPunct/>
              <w:topLinePunct w:val="0"/>
              <w:autoSpaceDE/>
              <w:autoSpaceDN/>
              <w:bidi w:val="0"/>
              <w:adjustRightInd/>
              <w:snapToGrid/>
              <w:spacing w:line="360" w:lineRule="exact"/>
              <w:ind w:left="0" w:right="0"/>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投标报价得分=（评标基准价/投标报价）×</w:t>
            </w:r>
            <w:r>
              <w:rPr>
                <w:rFonts w:hint="eastAsia" w:ascii="宋体" w:hAnsi="宋体" w:eastAsia="宋体" w:cs="宋体"/>
                <w:color w:val="auto"/>
                <w:kern w:val="0"/>
                <w:sz w:val="24"/>
                <w:szCs w:val="24"/>
                <w:lang w:val="en-US" w:eastAsia="zh-CN"/>
              </w:rPr>
              <w:t>15</w:t>
            </w:r>
            <w:r>
              <w:rPr>
                <w:rFonts w:hint="eastAsia" w:ascii="宋体" w:hAnsi="宋体" w:eastAsia="宋体" w:cs="宋体"/>
                <w:color w:val="auto"/>
                <w:kern w:val="0"/>
                <w:sz w:val="24"/>
                <w:szCs w:val="24"/>
              </w:rPr>
              <w:t>%×100。</w:t>
            </w:r>
          </w:p>
        </w:tc>
      </w:tr>
      <w:tr w14:paraId="1B2E28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93" w:hRule="atLeast"/>
          <w:jc w:val="center"/>
        </w:trPr>
        <w:tc>
          <w:tcPr>
            <w:tcW w:w="994" w:type="dxa"/>
            <w:vMerge w:val="restart"/>
            <w:tcBorders>
              <w:top w:val="single" w:color="auto" w:sz="4" w:space="0"/>
              <w:left w:val="single" w:color="auto" w:sz="4" w:space="0"/>
              <w:bottom w:val="single" w:color="auto" w:sz="4" w:space="0"/>
              <w:right w:val="single" w:color="auto" w:sz="4" w:space="0"/>
            </w:tcBorders>
            <w:vAlign w:val="center"/>
          </w:tcPr>
          <w:p w14:paraId="3E444807">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r>
              <w:rPr>
                <w:rFonts w:hint="eastAsia" w:ascii="宋体" w:hAnsi="宋体" w:eastAsia="宋体" w:cs="宋体"/>
                <w:color w:val="auto"/>
                <w:spacing w:val="-6"/>
                <w:sz w:val="24"/>
                <w:szCs w:val="24"/>
              </w:rPr>
              <w:t>商务</w:t>
            </w:r>
          </w:p>
          <w:p w14:paraId="2B00032E">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r>
              <w:rPr>
                <w:rFonts w:hint="eastAsia" w:ascii="宋体" w:hAnsi="宋体" w:eastAsia="宋体" w:cs="宋体"/>
                <w:color w:val="auto"/>
                <w:spacing w:val="-6"/>
                <w:sz w:val="24"/>
                <w:szCs w:val="24"/>
                <w:lang w:val="en-US" w:eastAsia="zh-CN"/>
              </w:rPr>
              <w:t>50</w:t>
            </w:r>
            <w:r>
              <w:rPr>
                <w:rFonts w:hint="eastAsia" w:ascii="宋体" w:hAnsi="宋体" w:eastAsia="宋体" w:cs="宋体"/>
                <w:color w:val="auto"/>
                <w:spacing w:val="-6"/>
                <w:sz w:val="24"/>
                <w:szCs w:val="24"/>
              </w:rPr>
              <w:t>分</w:t>
            </w:r>
          </w:p>
        </w:tc>
        <w:tc>
          <w:tcPr>
            <w:tcW w:w="1485" w:type="dxa"/>
            <w:tcBorders>
              <w:top w:val="single" w:color="auto" w:sz="4" w:space="0"/>
              <w:left w:val="single" w:color="auto" w:sz="4" w:space="0"/>
              <w:bottom w:val="single" w:color="auto" w:sz="4" w:space="0"/>
              <w:right w:val="single" w:color="auto" w:sz="4" w:space="0"/>
            </w:tcBorders>
            <w:vAlign w:val="center"/>
          </w:tcPr>
          <w:p w14:paraId="5DF6DA11">
            <w:pPr>
              <w:jc w:val="center"/>
              <w:rPr>
                <w:rFonts w:hint="eastAsia" w:ascii="宋体" w:hAnsi="宋体" w:eastAsia="宋体" w:cs="宋体"/>
                <w:color w:val="auto"/>
                <w:spacing w:val="-6"/>
                <w:sz w:val="24"/>
                <w:szCs w:val="24"/>
              </w:rPr>
            </w:pPr>
            <w:r>
              <w:rPr>
                <w:rFonts w:hint="eastAsia" w:ascii="宋体" w:hAnsi="宋体" w:eastAsia="宋体" w:cs="宋体"/>
                <w:color w:val="auto"/>
                <w:sz w:val="24"/>
                <w:szCs w:val="24"/>
                <w:highlight w:val="none"/>
                <w:lang w:val="en-US" w:eastAsia="zh-CN"/>
              </w:rPr>
              <w:t>类似</w:t>
            </w:r>
            <w:r>
              <w:rPr>
                <w:rFonts w:hint="eastAsia" w:ascii="宋体" w:hAnsi="宋体" w:eastAsia="宋体" w:cs="宋体"/>
                <w:color w:val="auto"/>
                <w:sz w:val="24"/>
                <w:szCs w:val="24"/>
                <w:highlight w:val="none"/>
              </w:rPr>
              <w:t>业绩</w:t>
            </w:r>
          </w:p>
        </w:tc>
        <w:tc>
          <w:tcPr>
            <w:tcW w:w="954" w:type="dxa"/>
            <w:tcBorders>
              <w:top w:val="single" w:color="auto" w:sz="4" w:space="0"/>
              <w:left w:val="single" w:color="auto" w:sz="4" w:space="0"/>
              <w:bottom w:val="single" w:color="auto" w:sz="4" w:space="0"/>
              <w:right w:val="single" w:color="auto" w:sz="4" w:space="0"/>
            </w:tcBorders>
            <w:vAlign w:val="center"/>
          </w:tcPr>
          <w:p w14:paraId="71D9CD76">
            <w:pPr>
              <w:widowControl/>
              <w:jc w:val="center"/>
              <w:rPr>
                <w:rFonts w:hint="eastAsia" w:ascii="宋体" w:hAnsi="宋体" w:eastAsia="宋体" w:cs="宋体"/>
                <w:color w:val="auto"/>
                <w:spacing w:val="-6"/>
                <w:sz w:val="24"/>
                <w:szCs w:val="24"/>
              </w:rPr>
            </w:pPr>
            <w:r>
              <w:rPr>
                <w:rFonts w:hint="eastAsia" w:cs="宋体"/>
                <w:color w:val="auto"/>
                <w:kern w:val="0"/>
                <w:sz w:val="24"/>
                <w:szCs w:val="24"/>
                <w:highlight w:val="none"/>
                <w:lang w:val="en-US" w:eastAsia="zh-CN"/>
              </w:rPr>
              <w:t>16</w:t>
            </w:r>
            <w:r>
              <w:rPr>
                <w:rFonts w:hint="eastAsia" w:ascii="宋体" w:hAnsi="宋体" w:eastAsia="宋体" w:cs="宋体"/>
                <w:color w:val="auto"/>
                <w:kern w:val="0"/>
                <w:sz w:val="24"/>
                <w:szCs w:val="24"/>
                <w:highlight w:val="none"/>
                <w:lang w:val="en-US" w:eastAsia="zh-CN"/>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19DBD5B1">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供应商自2023年4月至今，</w:t>
            </w:r>
            <w:r>
              <w:rPr>
                <w:rFonts w:hint="eastAsia" w:ascii="宋体" w:hAnsi="宋体" w:eastAsia="宋体" w:cs="宋体"/>
                <w:color w:val="auto"/>
                <w:sz w:val="24"/>
                <w:szCs w:val="24"/>
                <w:highlight w:val="none"/>
                <w:lang w:eastAsia="zh-CN"/>
              </w:rPr>
              <w:t>承担过类似松材线虫病</w:t>
            </w:r>
            <w:r>
              <w:rPr>
                <w:rFonts w:hint="eastAsia" w:ascii="宋体" w:hAnsi="宋体" w:eastAsia="宋体" w:cs="宋体"/>
                <w:color w:val="auto"/>
                <w:sz w:val="24"/>
                <w:szCs w:val="24"/>
                <w:highlight w:val="none"/>
                <w:lang w:val="en-US" w:eastAsia="zh-CN"/>
              </w:rPr>
              <w:t>防治项目内容包含松褐天牛防治的</w:t>
            </w:r>
            <w:r>
              <w:rPr>
                <w:rFonts w:hint="eastAsia" w:ascii="宋体" w:hAnsi="宋体" w:eastAsia="宋体" w:cs="宋体"/>
                <w:color w:val="auto"/>
                <w:sz w:val="24"/>
                <w:szCs w:val="24"/>
                <w:highlight w:val="none"/>
                <w:lang w:eastAsia="zh-CN"/>
              </w:rPr>
              <w:t>，每个</w:t>
            </w:r>
            <w:r>
              <w:rPr>
                <w:rFonts w:hint="eastAsia" w:ascii="宋体" w:hAnsi="宋体" w:eastAsia="宋体" w:cs="宋体"/>
                <w:color w:val="auto"/>
                <w:sz w:val="24"/>
                <w:szCs w:val="24"/>
                <w:highlight w:val="none"/>
                <w:lang w:val="en-US" w:eastAsia="zh-CN"/>
              </w:rPr>
              <w:t>业绩</w:t>
            </w:r>
            <w:r>
              <w:rPr>
                <w:rFonts w:hint="eastAsia" w:ascii="宋体" w:hAnsi="宋体" w:eastAsia="宋体" w:cs="宋体"/>
                <w:color w:val="auto"/>
                <w:sz w:val="24"/>
                <w:szCs w:val="24"/>
                <w:highlight w:val="none"/>
                <w:lang w:eastAsia="zh-CN"/>
              </w:rPr>
              <w:t>得</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分，满分</w:t>
            </w:r>
            <w:r>
              <w:rPr>
                <w:rFonts w:hint="eastAsia" w:ascii="宋体" w:hAnsi="宋体" w:eastAsia="宋体" w:cs="宋体"/>
                <w:color w:val="auto"/>
                <w:sz w:val="24"/>
                <w:szCs w:val="24"/>
                <w:highlight w:val="none"/>
                <w:lang w:val="en-US" w:eastAsia="zh-CN"/>
              </w:rPr>
              <w:t>16</w:t>
            </w:r>
            <w:r>
              <w:rPr>
                <w:rFonts w:hint="eastAsia" w:ascii="宋体" w:hAnsi="宋体" w:eastAsia="宋体" w:cs="宋体"/>
                <w:color w:val="auto"/>
                <w:sz w:val="24"/>
                <w:szCs w:val="24"/>
                <w:highlight w:val="none"/>
                <w:lang w:eastAsia="zh-CN"/>
              </w:rPr>
              <w:t>分。</w:t>
            </w:r>
            <w:bookmarkStart w:id="46" w:name="_GoBack"/>
            <w:bookmarkEnd w:id="46"/>
          </w:p>
          <w:p w14:paraId="6ABD0A1F">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highlight w:val="none"/>
                <w:lang w:val="en-US" w:eastAsia="zh-CN"/>
              </w:rPr>
              <w:t>评分依据：</w:t>
            </w:r>
            <w:r>
              <w:rPr>
                <w:rFonts w:hint="eastAsia" w:ascii="宋体" w:hAnsi="宋体" w:eastAsia="宋体" w:cs="宋体"/>
                <w:color w:val="auto"/>
                <w:sz w:val="24"/>
                <w:szCs w:val="24"/>
                <w:highlight w:val="none"/>
                <w:lang w:eastAsia="zh-CN"/>
              </w:rPr>
              <w:t>提供中标通知书</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合同</w:t>
            </w:r>
            <w:r>
              <w:rPr>
                <w:rFonts w:hint="eastAsia" w:ascii="宋体" w:hAnsi="宋体" w:eastAsia="宋体" w:cs="宋体"/>
                <w:color w:val="auto"/>
                <w:sz w:val="24"/>
                <w:szCs w:val="24"/>
                <w:highlight w:val="none"/>
                <w:lang w:val="en-US" w:eastAsia="zh-CN"/>
              </w:rPr>
              <w:t>及验收单并加盖公章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以签合同时间为准）</w:t>
            </w:r>
          </w:p>
        </w:tc>
      </w:tr>
      <w:tr w14:paraId="562819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06" w:hRule="atLeast"/>
          <w:jc w:val="center"/>
        </w:trPr>
        <w:tc>
          <w:tcPr>
            <w:tcW w:w="994" w:type="dxa"/>
            <w:vMerge w:val="continue"/>
            <w:tcBorders>
              <w:left w:val="single" w:color="auto" w:sz="4" w:space="0"/>
              <w:bottom w:val="single" w:color="auto" w:sz="4" w:space="0"/>
              <w:right w:val="single" w:color="auto" w:sz="4" w:space="0"/>
            </w:tcBorders>
            <w:vAlign w:val="center"/>
          </w:tcPr>
          <w:p w14:paraId="6ABFA56A">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lang w:val="en-US" w:eastAsia="zh-CN"/>
              </w:rPr>
            </w:pPr>
          </w:p>
        </w:tc>
        <w:tc>
          <w:tcPr>
            <w:tcW w:w="1485" w:type="dxa"/>
            <w:tcBorders>
              <w:top w:val="single" w:color="auto" w:sz="4" w:space="0"/>
              <w:left w:val="single" w:color="auto" w:sz="4" w:space="0"/>
              <w:bottom w:val="single" w:color="auto" w:sz="4" w:space="0"/>
              <w:right w:val="single" w:color="auto" w:sz="4" w:space="0"/>
            </w:tcBorders>
            <w:vAlign w:val="center"/>
          </w:tcPr>
          <w:p w14:paraId="2C6A6D50">
            <w:pPr>
              <w:jc w:val="center"/>
              <w:rPr>
                <w:rFonts w:hint="eastAsia" w:ascii="宋体" w:hAnsi="宋体" w:eastAsia="宋体" w:cs="宋体"/>
                <w:color w:val="auto"/>
                <w:spacing w:val="-6"/>
                <w:sz w:val="24"/>
                <w:szCs w:val="24"/>
              </w:rPr>
            </w:pPr>
            <w:r>
              <w:rPr>
                <w:rFonts w:hint="eastAsia" w:ascii="宋体" w:hAnsi="宋体" w:eastAsia="宋体" w:cs="宋体"/>
                <w:color w:val="auto"/>
                <w:sz w:val="24"/>
                <w:szCs w:val="24"/>
                <w:highlight w:val="none"/>
                <w:lang w:val="en-US" w:eastAsia="zh-CN"/>
              </w:rPr>
              <w:t>项目成绩</w:t>
            </w:r>
          </w:p>
        </w:tc>
        <w:tc>
          <w:tcPr>
            <w:tcW w:w="954" w:type="dxa"/>
            <w:tcBorders>
              <w:top w:val="single" w:color="auto" w:sz="4" w:space="0"/>
              <w:left w:val="single" w:color="auto" w:sz="4" w:space="0"/>
              <w:bottom w:val="single" w:color="auto" w:sz="4" w:space="0"/>
              <w:right w:val="single" w:color="auto" w:sz="4" w:space="0"/>
            </w:tcBorders>
            <w:vAlign w:val="center"/>
          </w:tcPr>
          <w:p w14:paraId="7318350A">
            <w:pPr>
              <w:widowControl/>
              <w:jc w:val="center"/>
              <w:rPr>
                <w:rFonts w:hint="eastAsia" w:ascii="宋体" w:hAnsi="宋体" w:eastAsia="宋体" w:cs="宋体"/>
                <w:color w:val="auto"/>
                <w:sz w:val="24"/>
                <w:szCs w:val="24"/>
              </w:rPr>
            </w:pPr>
            <w:r>
              <w:rPr>
                <w:rFonts w:hint="eastAsia"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lang w:val="en-US" w:eastAsia="zh-CN"/>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78F1E85E">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提供类似业绩业主单位出具的评价表或好评反馈单，每提供一个得2分，满分6分。</w:t>
            </w:r>
          </w:p>
        </w:tc>
      </w:tr>
      <w:tr w14:paraId="5F66B0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50" w:hRule="atLeast"/>
          <w:jc w:val="center"/>
        </w:trPr>
        <w:tc>
          <w:tcPr>
            <w:tcW w:w="994" w:type="dxa"/>
            <w:vMerge w:val="continue"/>
            <w:tcBorders>
              <w:top w:val="single" w:color="auto" w:sz="4" w:space="0"/>
              <w:left w:val="single" w:color="auto" w:sz="4" w:space="0"/>
              <w:right w:val="single" w:color="auto" w:sz="4" w:space="0"/>
            </w:tcBorders>
            <w:vAlign w:val="center"/>
          </w:tcPr>
          <w:p w14:paraId="68D96AAE">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lang w:val="en-US" w:eastAsia="zh-CN"/>
              </w:rPr>
            </w:pPr>
          </w:p>
        </w:tc>
        <w:tc>
          <w:tcPr>
            <w:tcW w:w="1485" w:type="dxa"/>
            <w:tcBorders>
              <w:top w:val="single" w:color="auto" w:sz="4" w:space="0"/>
              <w:left w:val="single" w:color="auto" w:sz="4" w:space="0"/>
              <w:bottom w:val="single" w:color="auto" w:sz="4" w:space="0"/>
              <w:right w:val="single" w:color="auto" w:sz="4" w:space="0"/>
            </w:tcBorders>
            <w:vAlign w:val="center"/>
          </w:tcPr>
          <w:p w14:paraId="01A95A3A">
            <w:pPr>
              <w:jc w:val="center"/>
              <w:rPr>
                <w:rFonts w:hint="eastAsia" w:ascii="宋体" w:hAnsi="宋体" w:eastAsia="宋体" w:cs="宋体"/>
                <w:color w:val="auto"/>
                <w:spacing w:val="-6"/>
                <w:sz w:val="24"/>
                <w:szCs w:val="24"/>
              </w:rPr>
            </w:pPr>
            <w:r>
              <w:rPr>
                <w:rFonts w:hint="eastAsia" w:ascii="宋体" w:hAnsi="宋体" w:eastAsia="宋体" w:cs="宋体"/>
                <w:color w:val="auto"/>
                <w:sz w:val="24"/>
                <w:szCs w:val="24"/>
                <w:highlight w:val="none"/>
                <w:lang w:val="en-US" w:eastAsia="zh-CN"/>
              </w:rPr>
              <w:t>企业实力</w:t>
            </w:r>
          </w:p>
        </w:tc>
        <w:tc>
          <w:tcPr>
            <w:tcW w:w="954" w:type="dxa"/>
            <w:tcBorders>
              <w:top w:val="single" w:color="auto" w:sz="4" w:space="0"/>
              <w:left w:val="single" w:color="auto" w:sz="4" w:space="0"/>
              <w:bottom w:val="single" w:color="auto" w:sz="4" w:space="0"/>
              <w:right w:val="single" w:color="auto" w:sz="4" w:space="0"/>
            </w:tcBorders>
            <w:vAlign w:val="center"/>
          </w:tcPr>
          <w:p w14:paraId="441801DE">
            <w:pPr>
              <w:widowControl/>
              <w:jc w:val="center"/>
              <w:rPr>
                <w:rFonts w:hint="eastAsia" w:ascii="宋体" w:hAnsi="宋体" w:eastAsia="宋体" w:cs="宋体"/>
                <w:color w:val="auto"/>
                <w:sz w:val="24"/>
                <w:szCs w:val="24"/>
              </w:rPr>
            </w:pPr>
            <w:r>
              <w:rPr>
                <w:rFonts w:hint="eastAsia"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7502232A">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投标人2023年4月至今获得省级以上政府部门颁发的荣誉表彰每项得3分，获得市级以上政府部门颁发的荣誉表彰每项得2分，最高得3分。</w:t>
            </w:r>
          </w:p>
        </w:tc>
      </w:tr>
      <w:tr w14:paraId="1CE7B6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95" w:hRule="atLeast"/>
          <w:jc w:val="center"/>
        </w:trPr>
        <w:tc>
          <w:tcPr>
            <w:tcW w:w="994" w:type="dxa"/>
            <w:vMerge w:val="continue"/>
            <w:tcBorders>
              <w:left w:val="single" w:color="auto" w:sz="4" w:space="0"/>
              <w:right w:val="single" w:color="auto" w:sz="4" w:space="0"/>
            </w:tcBorders>
            <w:vAlign w:val="center"/>
          </w:tcPr>
          <w:p w14:paraId="21DF1DB0">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lang w:val="en-US" w:eastAsia="zh-CN"/>
              </w:rPr>
            </w:pPr>
          </w:p>
        </w:tc>
        <w:tc>
          <w:tcPr>
            <w:tcW w:w="1485" w:type="dxa"/>
            <w:tcBorders>
              <w:top w:val="single" w:color="auto" w:sz="4" w:space="0"/>
              <w:left w:val="single" w:color="auto" w:sz="4" w:space="0"/>
              <w:bottom w:val="single" w:color="auto" w:sz="4" w:space="0"/>
              <w:right w:val="single" w:color="auto" w:sz="4" w:space="0"/>
            </w:tcBorders>
            <w:vAlign w:val="center"/>
          </w:tcPr>
          <w:p w14:paraId="368E44FC">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拟投入项目人员</w:t>
            </w:r>
          </w:p>
          <w:p w14:paraId="45A87BF2">
            <w:pPr>
              <w:jc w:val="center"/>
              <w:rPr>
                <w:rFonts w:hint="eastAsia" w:ascii="宋体" w:hAnsi="宋体" w:eastAsia="宋体" w:cs="宋体"/>
                <w:color w:val="auto"/>
                <w:spacing w:val="-6"/>
                <w:sz w:val="24"/>
                <w:szCs w:val="24"/>
              </w:rPr>
            </w:pPr>
          </w:p>
        </w:tc>
        <w:tc>
          <w:tcPr>
            <w:tcW w:w="954" w:type="dxa"/>
            <w:tcBorders>
              <w:top w:val="single" w:color="auto" w:sz="4" w:space="0"/>
              <w:left w:val="single" w:color="auto" w:sz="4" w:space="0"/>
              <w:bottom w:val="single" w:color="auto" w:sz="4" w:space="0"/>
              <w:right w:val="single" w:color="auto" w:sz="4" w:space="0"/>
            </w:tcBorders>
            <w:vAlign w:val="center"/>
          </w:tcPr>
          <w:p w14:paraId="35C2A85A">
            <w:pPr>
              <w:widowControl/>
              <w:jc w:val="center"/>
              <w:rPr>
                <w:rFonts w:hint="eastAsia" w:ascii="宋体" w:hAnsi="宋体" w:eastAsia="宋体" w:cs="宋体"/>
                <w:color w:val="auto"/>
                <w:sz w:val="24"/>
                <w:szCs w:val="24"/>
              </w:rPr>
            </w:pPr>
            <w:r>
              <w:rPr>
                <w:rFonts w:hint="eastAsia"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lang w:val="en-US" w:eastAsia="zh-CN"/>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5A5D7DB8">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1、拟派项目负责人具有林业专业中级或高级职称证书的得3分（提供相关证件扫描件和近6个月任意一个月供应商为其缴纳社保的证明材料，不提供的不得分）。</w:t>
            </w:r>
          </w:p>
          <w:p w14:paraId="65138F9C">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项目技术人员（不含项目负责人）中具备林业有害生物防治专业的相关职能证书或林业中级及以上职称的，每提供1个有效证件得1分，最多得9分（提供证件扫描件加盖公章，及近6个月任意一个月供应商为其缴纳社保的证明材料，不提供的不得分）。</w:t>
            </w:r>
          </w:p>
          <w:p w14:paraId="5CEFEE66">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3、具有中国民航局颁发的民用无人机专业飞手执照的，每个得1分，最高8分。</w:t>
            </w:r>
          </w:p>
        </w:tc>
      </w:tr>
      <w:tr w14:paraId="61E368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05" w:hRule="atLeast"/>
          <w:jc w:val="center"/>
        </w:trPr>
        <w:tc>
          <w:tcPr>
            <w:tcW w:w="994" w:type="dxa"/>
            <w:vMerge w:val="continue"/>
            <w:tcBorders>
              <w:top w:val="single" w:color="auto" w:sz="4" w:space="0"/>
              <w:left w:val="single" w:color="auto" w:sz="4" w:space="0"/>
              <w:bottom w:val="single" w:color="auto" w:sz="4" w:space="0"/>
              <w:right w:val="single" w:color="auto" w:sz="4" w:space="0"/>
            </w:tcBorders>
            <w:vAlign w:val="center"/>
          </w:tcPr>
          <w:p w14:paraId="6A6EC96C">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p>
        </w:tc>
        <w:tc>
          <w:tcPr>
            <w:tcW w:w="1485" w:type="dxa"/>
            <w:tcBorders>
              <w:top w:val="single" w:color="auto" w:sz="4" w:space="0"/>
              <w:left w:val="single" w:color="auto" w:sz="4" w:space="0"/>
              <w:bottom w:val="single" w:color="auto" w:sz="4" w:space="0"/>
              <w:right w:val="single" w:color="auto" w:sz="4" w:space="0"/>
            </w:tcBorders>
            <w:vAlign w:val="center"/>
          </w:tcPr>
          <w:p w14:paraId="7128E7D6">
            <w:pPr>
              <w:jc w:val="center"/>
              <w:rPr>
                <w:rFonts w:hint="eastAsia" w:ascii="宋体" w:hAnsi="宋体" w:eastAsia="宋体" w:cs="宋体"/>
                <w:color w:val="auto"/>
                <w:spacing w:val="-6"/>
                <w:kern w:val="0"/>
                <w:sz w:val="24"/>
                <w:szCs w:val="24"/>
              </w:rPr>
            </w:pPr>
            <w:r>
              <w:rPr>
                <w:rFonts w:hint="eastAsia" w:ascii="宋体" w:hAnsi="宋体" w:eastAsia="宋体" w:cs="宋体"/>
                <w:color w:val="auto"/>
                <w:sz w:val="24"/>
                <w:szCs w:val="24"/>
                <w:highlight w:val="none"/>
                <w:lang w:val="en-US" w:eastAsia="zh-CN"/>
              </w:rPr>
              <w:t>作业设备安全保障</w:t>
            </w:r>
          </w:p>
        </w:tc>
        <w:tc>
          <w:tcPr>
            <w:tcW w:w="954" w:type="dxa"/>
            <w:tcBorders>
              <w:top w:val="single" w:color="auto" w:sz="4" w:space="0"/>
              <w:left w:val="single" w:color="auto" w:sz="4" w:space="0"/>
              <w:bottom w:val="single" w:color="auto" w:sz="4" w:space="0"/>
              <w:right w:val="single" w:color="auto" w:sz="4" w:space="0"/>
            </w:tcBorders>
            <w:vAlign w:val="center"/>
          </w:tcPr>
          <w:p w14:paraId="10981F4A">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z w:val="24"/>
                <w:szCs w:val="24"/>
                <w:lang w:eastAsia="zh-CN"/>
              </w:rPr>
            </w:pPr>
            <w:r>
              <w:rPr>
                <w:rFonts w:hint="eastAsia" w:cs="宋体"/>
                <w:color w:val="auto"/>
                <w:spacing w:val="-6"/>
                <w:sz w:val="24"/>
                <w:szCs w:val="24"/>
                <w:lang w:val="en-US" w:eastAsia="zh-CN"/>
              </w:rPr>
              <w:t>5</w:t>
            </w:r>
            <w:r>
              <w:rPr>
                <w:rFonts w:hint="eastAsia" w:ascii="宋体" w:hAnsi="宋体" w:eastAsia="宋体" w:cs="宋体"/>
                <w:color w:val="auto"/>
                <w:spacing w:val="-6"/>
                <w:sz w:val="24"/>
                <w:szCs w:val="24"/>
                <w:lang w:val="en-US" w:eastAsia="zh-CN"/>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1E8B1A2E">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1、提供无人机设备证明（购买发票或租赁合同）且数量≥3架得3分。</w:t>
            </w:r>
          </w:p>
          <w:p w14:paraId="6920C7C9">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2、提供专用车辆证明（行驶证或租赁合同）且数量≥3辆得2分。</w:t>
            </w:r>
          </w:p>
        </w:tc>
      </w:tr>
      <w:tr w14:paraId="655360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51" w:hRule="atLeast"/>
          <w:jc w:val="center"/>
        </w:trPr>
        <w:tc>
          <w:tcPr>
            <w:tcW w:w="994" w:type="dxa"/>
            <w:vMerge w:val="restart"/>
            <w:tcBorders>
              <w:top w:val="single" w:color="auto" w:sz="4" w:space="0"/>
              <w:left w:val="single" w:color="auto" w:sz="4" w:space="0"/>
              <w:bottom w:val="single" w:color="auto" w:sz="4" w:space="0"/>
              <w:right w:val="single" w:color="auto" w:sz="4" w:space="0"/>
            </w:tcBorders>
            <w:vAlign w:val="center"/>
          </w:tcPr>
          <w:p w14:paraId="567AF0AE">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r>
              <w:rPr>
                <w:rFonts w:hint="eastAsia" w:ascii="宋体" w:hAnsi="宋体" w:eastAsia="宋体" w:cs="宋体"/>
                <w:color w:val="auto"/>
                <w:spacing w:val="-6"/>
                <w:sz w:val="24"/>
                <w:szCs w:val="24"/>
              </w:rPr>
              <w:t>技术</w:t>
            </w:r>
          </w:p>
          <w:p w14:paraId="7F6AE675">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r>
              <w:rPr>
                <w:rFonts w:hint="eastAsia" w:ascii="宋体" w:hAnsi="宋体" w:eastAsia="宋体" w:cs="宋体"/>
                <w:color w:val="auto"/>
                <w:spacing w:val="-6"/>
                <w:sz w:val="24"/>
                <w:szCs w:val="24"/>
                <w:lang w:val="en-US" w:eastAsia="zh-CN"/>
              </w:rPr>
              <w:t>35</w:t>
            </w:r>
            <w:r>
              <w:rPr>
                <w:rFonts w:hint="eastAsia" w:ascii="宋体" w:hAnsi="宋体" w:eastAsia="宋体" w:cs="宋体"/>
                <w:color w:val="auto"/>
                <w:spacing w:val="-6"/>
                <w:sz w:val="24"/>
                <w:szCs w:val="24"/>
              </w:rPr>
              <w:t>分</w:t>
            </w:r>
          </w:p>
        </w:tc>
        <w:tc>
          <w:tcPr>
            <w:tcW w:w="1485" w:type="dxa"/>
            <w:tcBorders>
              <w:top w:val="single" w:color="auto" w:sz="4" w:space="0"/>
              <w:left w:val="single" w:color="auto" w:sz="4" w:space="0"/>
              <w:bottom w:val="single" w:color="auto" w:sz="4" w:space="0"/>
              <w:right w:val="single" w:color="auto" w:sz="4" w:space="0"/>
            </w:tcBorders>
            <w:vAlign w:val="center"/>
          </w:tcPr>
          <w:p w14:paraId="2A173544">
            <w:pPr>
              <w:jc w:val="center"/>
              <w:rPr>
                <w:rFonts w:hint="eastAsia" w:ascii="宋体" w:hAnsi="宋体" w:eastAsia="宋体" w:cs="宋体"/>
                <w:color w:val="auto"/>
                <w:spacing w:val="-6"/>
                <w:kern w:val="0"/>
                <w:sz w:val="24"/>
                <w:szCs w:val="24"/>
              </w:rPr>
            </w:pPr>
            <w:r>
              <w:rPr>
                <w:rFonts w:hint="eastAsia" w:ascii="宋体" w:hAnsi="宋体" w:eastAsia="宋体" w:cs="宋体"/>
                <w:color w:val="auto"/>
                <w:sz w:val="24"/>
                <w:szCs w:val="24"/>
                <w:highlight w:val="none"/>
              </w:rPr>
              <w:t>项目背景 理解</w:t>
            </w:r>
          </w:p>
        </w:tc>
        <w:tc>
          <w:tcPr>
            <w:tcW w:w="954" w:type="dxa"/>
            <w:tcBorders>
              <w:top w:val="single" w:color="auto" w:sz="4" w:space="0"/>
              <w:left w:val="single" w:color="auto" w:sz="4" w:space="0"/>
              <w:bottom w:val="single" w:color="auto" w:sz="4" w:space="0"/>
              <w:right w:val="single" w:color="auto" w:sz="4" w:space="0"/>
            </w:tcBorders>
            <w:vAlign w:val="center"/>
          </w:tcPr>
          <w:p w14:paraId="491680C1">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0FB5B928">
            <w:pPr>
              <w:keepNext w:val="0"/>
              <w:keepLines w:val="0"/>
              <w:pageBreakBefore w:val="0"/>
              <w:numPr>
                <w:ilvl w:val="0"/>
                <w:numId w:val="0"/>
              </w:numPr>
              <w:kinsoku/>
              <w:wordWrap/>
              <w:overflowPunct/>
              <w:topLinePunct w:val="0"/>
              <w:bidi w:val="0"/>
              <w:adjustRightInd/>
              <w:snapToGrid/>
              <w:spacing w:line="360" w:lineRule="exact"/>
              <w:ind w:left="0"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1、包含①对本项目的理解和认识；②总体概述；③项目组织机构安排；④项目实施方案等4项内容。每项3分，齐全得12分，每</w:t>
            </w:r>
            <w:r>
              <w:rPr>
                <w:rFonts w:hint="eastAsia" w:ascii="宋体" w:hAnsi="宋体" w:eastAsia="宋体" w:cs="宋体"/>
                <w:color w:val="auto"/>
                <w:sz w:val="24"/>
                <w:szCs w:val="24"/>
                <w:highlight w:val="none"/>
              </w:rPr>
              <w:t>缺少1项内容扣</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w:t>
            </w:r>
          </w:p>
          <w:p w14:paraId="7C328F60">
            <w:pPr>
              <w:keepNext w:val="0"/>
              <w:keepLines w:val="0"/>
              <w:pageBreakBefore w:val="0"/>
              <w:kinsoku/>
              <w:wordWrap/>
              <w:overflowPunct/>
              <w:topLinePunct w:val="0"/>
              <w:bidi w:val="0"/>
              <w:adjustRightInd/>
              <w:snapToGrid/>
              <w:spacing w:line="360" w:lineRule="exact"/>
              <w:ind w:left="0" w:right="0"/>
              <w:jc w:val="left"/>
              <w:textAlignment w:val="auto"/>
              <w:rPr>
                <w:rFonts w:hint="eastAsia" w:ascii="宋体" w:hAnsi="宋体" w:eastAsia="宋体" w:cs="宋体"/>
                <w:color w:val="auto"/>
                <w:spacing w:val="-30"/>
                <w:sz w:val="24"/>
                <w:szCs w:val="24"/>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以上内容每项未结合项目实际的扣</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分，累计最高扣</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eastAsia="zh-CN"/>
              </w:rPr>
              <w:t>。</w:t>
            </w:r>
          </w:p>
        </w:tc>
      </w:tr>
      <w:tr w14:paraId="10F01E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94" w:type="dxa"/>
            <w:vMerge w:val="continue"/>
            <w:tcBorders>
              <w:top w:val="single" w:color="auto" w:sz="4" w:space="0"/>
              <w:left w:val="single" w:color="auto" w:sz="4" w:space="0"/>
              <w:bottom w:val="single" w:color="auto" w:sz="4" w:space="0"/>
              <w:right w:val="single" w:color="auto" w:sz="4" w:space="0"/>
            </w:tcBorders>
            <w:vAlign w:val="center"/>
          </w:tcPr>
          <w:p w14:paraId="1E45F50B">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p>
        </w:tc>
        <w:tc>
          <w:tcPr>
            <w:tcW w:w="1485" w:type="dxa"/>
            <w:tcBorders>
              <w:top w:val="single" w:color="auto" w:sz="4" w:space="0"/>
              <w:left w:val="single" w:color="auto" w:sz="4" w:space="0"/>
              <w:bottom w:val="single" w:color="auto" w:sz="4" w:space="0"/>
              <w:right w:val="single" w:color="auto" w:sz="4" w:space="0"/>
            </w:tcBorders>
            <w:vAlign w:val="center"/>
          </w:tcPr>
          <w:p w14:paraId="60EAA840">
            <w:pPr>
              <w:jc w:val="center"/>
              <w:rPr>
                <w:rFonts w:hint="eastAsia" w:ascii="宋体" w:hAnsi="宋体" w:eastAsia="宋体" w:cs="宋体"/>
                <w:color w:val="auto"/>
                <w:sz w:val="24"/>
                <w:szCs w:val="24"/>
              </w:rPr>
            </w:pPr>
            <w:r>
              <w:rPr>
                <w:rFonts w:hint="eastAsia" w:ascii="宋体" w:hAnsi="宋体" w:eastAsia="宋体" w:cs="宋体"/>
                <w:color w:val="auto"/>
                <w:sz w:val="24"/>
                <w:szCs w:val="24"/>
                <w:highlight w:val="none"/>
              </w:rPr>
              <w:t>技术方案</w:t>
            </w:r>
          </w:p>
        </w:tc>
        <w:tc>
          <w:tcPr>
            <w:tcW w:w="954" w:type="dxa"/>
            <w:tcBorders>
              <w:top w:val="single" w:color="auto" w:sz="4" w:space="0"/>
              <w:left w:val="single" w:color="auto" w:sz="4" w:space="0"/>
              <w:bottom w:val="single" w:color="auto" w:sz="4" w:space="0"/>
              <w:right w:val="single" w:color="auto" w:sz="4" w:space="0"/>
            </w:tcBorders>
            <w:vAlign w:val="center"/>
          </w:tcPr>
          <w:p w14:paraId="00A3F2FD">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kern w:val="0"/>
                <w:sz w:val="24"/>
                <w:szCs w:val="24"/>
              </w:rPr>
            </w:pPr>
            <w:r>
              <w:rPr>
                <w:rFonts w:hint="eastAsia" w:ascii="宋体" w:hAnsi="宋体" w:eastAsia="宋体" w:cs="宋体"/>
                <w:color w:val="auto"/>
                <w:spacing w:val="-6"/>
                <w:kern w:val="0"/>
                <w:sz w:val="24"/>
                <w:szCs w:val="24"/>
                <w:lang w:val="en-US" w:eastAsia="zh-CN"/>
              </w:rPr>
              <w:t>8</w:t>
            </w:r>
            <w:r>
              <w:rPr>
                <w:rFonts w:hint="eastAsia" w:ascii="宋体" w:hAnsi="宋体" w:eastAsia="宋体" w:cs="宋体"/>
                <w:color w:val="auto"/>
                <w:spacing w:val="-6"/>
                <w:kern w:val="0"/>
                <w:sz w:val="24"/>
                <w:szCs w:val="24"/>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573AEAC4">
            <w:pPr>
              <w:keepNext w:val="0"/>
              <w:keepLines w:val="0"/>
              <w:pageBreakBefore w:val="0"/>
              <w:numPr>
                <w:ilvl w:val="0"/>
                <w:numId w:val="0"/>
              </w:numPr>
              <w:kinsoku/>
              <w:wordWrap/>
              <w:overflowPunct/>
              <w:topLinePunct w:val="0"/>
              <w:bidi w:val="0"/>
              <w:adjustRightInd/>
              <w:snapToGrid/>
              <w:spacing w:line="360" w:lineRule="exact"/>
              <w:ind w:left="0"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pacing w:val="-6"/>
                <w:sz w:val="24"/>
                <w:szCs w:val="24"/>
                <w:highlight w:val="none"/>
                <w:lang w:val="en-US" w:eastAsia="zh-CN"/>
              </w:rPr>
              <w:t>1、包含①方案说明；②相关案例分析；</w:t>
            </w:r>
            <w:r>
              <w:rPr>
                <w:rFonts w:hint="eastAsia" w:ascii="宋体" w:hAnsi="宋体" w:eastAsia="宋体" w:cs="宋体"/>
                <w:color w:val="auto"/>
                <w:sz w:val="24"/>
                <w:szCs w:val="24"/>
                <w:highlight w:val="none"/>
                <w:lang w:val="en-US" w:eastAsia="zh-CN"/>
              </w:rPr>
              <w:t>③特点分析；④</w:t>
            </w:r>
            <w:r>
              <w:rPr>
                <w:rFonts w:hint="eastAsia" w:ascii="宋体" w:hAnsi="宋体" w:cs="宋体"/>
                <w:color w:val="auto"/>
                <w:kern w:val="0"/>
                <w:sz w:val="24"/>
                <w:szCs w:val="24"/>
                <w:highlight w:val="none"/>
                <w:lang w:val="en-US" w:eastAsia="zh-CN" w:bidi="ar"/>
              </w:rPr>
              <w:t>对策及措施。</w:t>
            </w:r>
            <w:r>
              <w:rPr>
                <w:rFonts w:hint="eastAsia" w:ascii="宋体" w:hAnsi="宋体" w:eastAsia="宋体" w:cs="宋体"/>
                <w:color w:val="auto"/>
                <w:spacing w:val="-6"/>
                <w:sz w:val="24"/>
                <w:szCs w:val="24"/>
                <w:highlight w:val="none"/>
                <w:lang w:val="en-US" w:eastAsia="zh-CN"/>
              </w:rPr>
              <w:t>每项2分，齐全得8分；</w:t>
            </w:r>
            <w:r>
              <w:rPr>
                <w:rFonts w:hint="eastAsia" w:ascii="宋体" w:hAnsi="宋体" w:eastAsia="宋体" w:cs="宋体"/>
                <w:color w:val="auto"/>
                <w:sz w:val="24"/>
                <w:szCs w:val="24"/>
                <w:highlight w:val="none"/>
                <w:lang w:val="en-US" w:eastAsia="zh-CN"/>
              </w:rPr>
              <w:t>每</w:t>
            </w:r>
            <w:r>
              <w:rPr>
                <w:rFonts w:hint="eastAsia" w:ascii="宋体" w:hAnsi="宋体" w:eastAsia="宋体" w:cs="宋体"/>
                <w:color w:val="auto"/>
                <w:sz w:val="24"/>
                <w:szCs w:val="24"/>
                <w:highlight w:val="none"/>
              </w:rPr>
              <w:t>缺少1项内容扣</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w:t>
            </w:r>
          </w:p>
          <w:p w14:paraId="40882D6A">
            <w:pPr>
              <w:keepNext w:val="0"/>
              <w:keepLines w:val="0"/>
              <w:pageBreakBefore w:val="0"/>
              <w:kinsoku/>
              <w:wordWrap/>
              <w:overflowPunct/>
              <w:topLinePunct w:val="0"/>
              <w:bidi w:val="0"/>
              <w:adjustRightInd/>
              <w:snapToGrid/>
              <w:spacing w:line="360" w:lineRule="exact"/>
              <w:ind w:left="0" w:right="0"/>
              <w:jc w:val="left"/>
              <w:textAlignment w:val="auto"/>
              <w:rPr>
                <w:rFonts w:hint="eastAsia" w:ascii="宋体" w:hAnsi="宋体" w:eastAsia="宋体" w:cs="宋体"/>
                <w:color w:val="auto"/>
                <w:spacing w:val="-6"/>
                <w:kern w:val="0"/>
                <w:sz w:val="24"/>
                <w:szCs w:val="24"/>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以上内容每项未结合项目实际的扣</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分，累计最高扣</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w:t>
            </w:r>
          </w:p>
        </w:tc>
      </w:tr>
      <w:tr w14:paraId="494274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90" w:hRule="atLeast"/>
          <w:jc w:val="center"/>
        </w:trPr>
        <w:tc>
          <w:tcPr>
            <w:tcW w:w="994" w:type="dxa"/>
            <w:vMerge w:val="continue"/>
            <w:tcBorders>
              <w:top w:val="single" w:color="auto" w:sz="4" w:space="0"/>
              <w:left w:val="single" w:color="auto" w:sz="4" w:space="0"/>
              <w:bottom w:val="single" w:color="auto" w:sz="4" w:space="0"/>
              <w:right w:val="single" w:color="auto" w:sz="4" w:space="0"/>
            </w:tcBorders>
            <w:vAlign w:val="center"/>
          </w:tcPr>
          <w:p w14:paraId="7666FADA">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p>
        </w:tc>
        <w:tc>
          <w:tcPr>
            <w:tcW w:w="1485" w:type="dxa"/>
            <w:tcBorders>
              <w:top w:val="single" w:color="auto" w:sz="4" w:space="0"/>
              <w:left w:val="single" w:color="auto" w:sz="4" w:space="0"/>
              <w:bottom w:val="single" w:color="auto" w:sz="4" w:space="0"/>
              <w:right w:val="single" w:color="auto" w:sz="4" w:space="0"/>
            </w:tcBorders>
            <w:vAlign w:val="center"/>
          </w:tcPr>
          <w:p w14:paraId="5FFA740D">
            <w:pPr>
              <w:jc w:val="center"/>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t>质量保障措施</w:t>
            </w:r>
          </w:p>
        </w:tc>
        <w:tc>
          <w:tcPr>
            <w:tcW w:w="954" w:type="dxa"/>
            <w:tcBorders>
              <w:top w:val="single" w:color="auto" w:sz="4" w:space="0"/>
              <w:left w:val="single" w:color="auto" w:sz="4" w:space="0"/>
              <w:bottom w:val="single" w:color="auto" w:sz="4" w:space="0"/>
              <w:right w:val="single" w:color="auto" w:sz="4" w:space="0"/>
            </w:tcBorders>
            <w:vAlign w:val="center"/>
          </w:tcPr>
          <w:p w14:paraId="29218A05">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kern w:val="0"/>
                <w:sz w:val="24"/>
                <w:szCs w:val="24"/>
              </w:rPr>
            </w:pPr>
            <w:r>
              <w:rPr>
                <w:rFonts w:hint="eastAsia" w:ascii="宋体" w:hAnsi="宋体" w:eastAsia="宋体" w:cs="宋体"/>
                <w:color w:val="auto"/>
                <w:spacing w:val="-6"/>
                <w:kern w:val="0"/>
                <w:sz w:val="24"/>
                <w:szCs w:val="24"/>
                <w:lang w:val="en-US" w:eastAsia="zh-CN"/>
              </w:rPr>
              <w:t>6</w:t>
            </w:r>
            <w:r>
              <w:rPr>
                <w:rFonts w:hint="eastAsia" w:ascii="宋体" w:hAnsi="宋体" w:eastAsia="宋体" w:cs="宋体"/>
                <w:color w:val="auto"/>
                <w:spacing w:val="-6"/>
                <w:kern w:val="0"/>
                <w:sz w:val="24"/>
                <w:szCs w:val="24"/>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178C3B18">
            <w:pPr>
              <w:keepNext w:val="0"/>
              <w:keepLines w:val="0"/>
              <w:pageBreakBefore w:val="0"/>
              <w:numPr>
                <w:ilvl w:val="0"/>
                <w:numId w:val="0"/>
              </w:numPr>
              <w:kinsoku/>
              <w:wordWrap/>
              <w:overflowPunct/>
              <w:topLinePunct w:val="0"/>
              <w:bidi w:val="0"/>
              <w:adjustRightInd/>
              <w:snapToGrid/>
              <w:spacing w:line="360" w:lineRule="exact"/>
              <w:ind w:left="0"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kern w:val="0"/>
                <w:sz w:val="24"/>
                <w:szCs w:val="24"/>
                <w:highlight w:val="none"/>
                <w:lang w:val="en-US" w:eastAsia="zh-CN" w:bidi="ar"/>
              </w:rPr>
              <w:t>1、包含</w:t>
            </w:r>
            <w:r>
              <w:rPr>
                <w:rFonts w:hint="eastAsia" w:ascii="宋体" w:hAnsi="宋体" w:eastAsia="宋体" w:cs="宋体"/>
                <w:color w:val="auto"/>
                <w:kern w:val="0"/>
                <w:sz w:val="24"/>
                <w:szCs w:val="24"/>
                <w:highlight w:val="none"/>
                <w:lang w:val="en-US" w:eastAsia="zh-CN" w:bidi="ar"/>
              </w:rPr>
              <w:t>：</w:t>
            </w:r>
            <w:r>
              <w:rPr>
                <w:rFonts w:hint="eastAsia" w:ascii="宋体" w:hAnsi="宋体" w:eastAsia="宋体" w:cs="宋体"/>
                <w:color w:val="auto"/>
                <w:spacing w:val="-6"/>
                <w:sz w:val="24"/>
                <w:szCs w:val="24"/>
                <w:highlight w:val="none"/>
                <w:lang w:val="en-US" w:eastAsia="zh-CN"/>
              </w:rPr>
              <w:t>①</w:t>
            </w:r>
            <w:r>
              <w:rPr>
                <w:rFonts w:hint="eastAsia" w:ascii="宋体" w:hAnsi="宋体" w:cs="宋体"/>
                <w:color w:val="auto"/>
                <w:kern w:val="0"/>
                <w:sz w:val="24"/>
                <w:szCs w:val="24"/>
                <w:highlight w:val="none"/>
                <w:lang w:val="en-US" w:eastAsia="zh-CN" w:bidi="ar"/>
              </w:rPr>
              <w:t>质量的总目标；</w:t>
            </w:r>
            <w:r>
              <w:rPr>
                <w:rFonts w:hint="eastAsia" w:ascii="宋体" w:hAnsi="宋体" w:eastAsia="宋体" w:cs="宋体"/>
                <w:color w:val="auto"/>
                <w:spacing w:val="-6"/>
                <w:sz w:val="24"/>
                <w:szCs w:val="24"/>
                <w:highlight w:val="none"/>
                <w:lang w:val="en-US" w:eastAsia="zh-CN"/>
              </w:rPr>
              <w:t>②</w:t>
            </w:r>
            <w:r>
              <w:rPr>
                <w:rFonts w:hint="eastAsia" w:ascii="宋体" w:hAnsi="宋体" w:eastAsia="宋体" w:cs="宋体"/>
                <w:color w:val="auto"/>
                <w:kern w:val="0"/>
                <w:sz w:val="24"/>
                <w:szCs w:val="24"/>
                <w:highlight w:val="none"/>
                <w:lang w:val="en-US" w:eastAsia="zh-CN" w:bidi="ar"/>
              </w:rPr>
              <w:t>质量控制措施；</w:t>
            </w:r>
            <w:r>
              <w:rPr>
                <w:rFonts w:hint="eastAsia" w:ascii="宋体" w:hAnsi="宋体" w:eastAsia="宋体" w:cs="宋体"/>
                <w:color w:val="auto"/>
                <w:sz w:val="24"/>
                <w:szCs w:val="24"/>
                <w:highlight w:val="none"/>
                <w:lang w:val="en-US" w:eastAsia="zh-CN"/>
              </w:rPr>
              <w:t>③</w:t>
            </w:r>
            <w:r>
              <w:rPr>
                <w:rFonts w:hint="eastAsia" w:ascii="宋体" w:hAnsi="宋体" w:eastAsia="宋体" w:cs="宋体"/>
                <w:color w:val="auto"/>
                <w:kern w:val="0"/>
                <w:sz w:val="24"/>
                <w:szCs w:val="24"/>
                <w:highlight w:val="none"/>
                <w:lang w:val="en-US" w:eastAsia="zh-CN" w:bidi="ar"/>
              </w:rPr>
              <w:t>质量保证体系；</w:t>
            </w:r>
            <w:r>
              <w:rPr>
                <w:rFonts w:hint="eastAsia" w:ascii="宋体" w:hAnsi="宋体" w:eastAsia="宋体" w:cs="宋体"/>
                <w:color w:val="auto"/>
                <w:sz w:val="24"/>
                <w:szCs w:val="24"/>
                <w:highlight w:val="none"/>
                <w:lang w:val="en-US" w:eastAsia="zh-CN"/>
              </w:rPr>
              <w:t>④</w:t>
            </w:r>
            <w:r>
              <w:rPr>
                <w:rFonts w:hint="eastAsia" w:ascii="宋体" w:hAnsi="宋体" w:eastAsia="宋体" w:cs="宋体"/>
                <w:color w:val="auto"/>
                <w:kern w:val="0"/>
                <w:sz w:val="24"/>
                <w:szCs w:val="24"/>
                <w:highlight w:val="none"/>
                <w:lang w:val="en-US" w:eastAsia="zh-CN" w:bidi="ar"/>
              </w:rPr>
              <w:t>质量承诺。</w:t>
            </w:r>
            <w:r>
              <w:rPr>
                <w:rFonts w:hint="eastAsia" w:ascii="宋体" w:hAnsi="宋体" w:eastAsia="宋体" w:cs="宋体"/>
                <w:color w:val="auto"/>
                <w:spacing w:val="-6"/>
                <w:sz w:val="24"/>
                <w:szCs w:val="24"/>
                <w:highlight w:val="none"/>
                <w:lang w:val="en-US" w:eastAsia="zh-CN"/>
              </w:rPr>
              <w:t>每项1.5分，齐全得6分；</w:t>
            </w:r>
            <w:r>
              <w:rPr>
                <w:rFonts w:hint="eastAsia" w:ascii="宋体" w:hAnsi="宋体" w:eastAsia="宋体" w:cs="宋体"/>
                <w:color w:val="auto"/>
                <w:sz w:val="24"/>
                <w:szCs w:val="24"/>
                <w:highlight w:val="none"/>
                <w:lang w:val="en-US" w:eastAsia="zh-CN"/>
              </w:rPr>
              <w:t>每</w:t>
            </w:r>
            <w:r>
              <w:rPr>
                <w:rFonts w:hint="eastAsia" w:ascii="宋体" w:hAnsi="宋体" w:eastAsia="宋体" w:cs="宋体"/>
                <w:color w:val="auto"/>
                <w:sz w:val="24"/>
                <w:szCs w:val="24"/>
                <w:highlight w:val="none"/>
              </w:rPr>
              <w:t>缺少1项内容扣</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w:t>
            </w:r>
          </w:p>
          <w:p w14:paraId="439FF81E">
            <w:pPr>
              <w:keepNext w:val="0"/>
              <w:keepLines w:val="0"/>
              <w:pageBreakBefore w:val="0"/>
              <w:kinsoku/>
              <w:wordWrap/>
              <w:overflowPunct/>
              <w:topLinePunct w:val="0"/>
              <w:bidi w:val="0"/>
              <w:adjustRightInd/>
              <w:snapToGrid/>
              <w:spacing w:line="360" w:lineRule="exact"/>
              <w:ind w:left="0" w:right="0"/>
              <w:textAlignment w:val="auto"/>
              <w:rPr>
                <w:rFonts w:hint="eastAsia" w:ascii="宋体" w:hAnsi="宋体" w:eastAsia="宋体" w:cs="宋体"/>
                <w:color w:val="auto"/>
                <w:spacing w:val="-6"/>
                <w:sz w:val="24"/>
                <w:szCs w:val="24"/>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以上内容每项未结合项目实际的扣</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分，累计最高扣</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w:t>
            </w:r>
          </w:p>
        </w:tc>
      </w:tr>
      <w:tr w14:paraId="78E23F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60" w:hRule="atLeast"/>
          <w:jc w:val="center"/>
        </w:trPr>
        <w:tc>
          <w:tcPr>
            <w:tcW w:w="994" w:type="dxa"/>
            <w:vMerge w:val="continue"/>
            <w:tcBorders>
              <w:top w:val="single" w:color="auto" w:sz="4" w:space="0"/>
              <w:left w:val="single" w:color="auto" w:sz="4" w:space="0"/>
              <w:bottom w:val="single" w:color="auto" w:sz="4" w:space="0"/>
              <w:right w:val="single" w:color="auto" w:sz="4" w:space="0"/>
            </w:tcBorders>
            <w:vAlign w:val="center"/>
          </w:tcPr>
          <w:p w14:paraId="5C03D971">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p>
        </w:tc>
        <w:tc>
          <w:tcPr>
            <w:tcW w:w="1485" w:type="dxa"/>
            <w:tcBorders>
              <w:top w:val="single" w:color="auto" w:sz="4" w:space="0"/>
              <w:left w:val="single" w:color="auto" w:sz="4" w:space="0"/>
              <w:bottom w:val="single" w:color="auto" w:sz="4" w:space="0"/>
              <w:right w:val="single" w:color="auto" w:sz="4" w:space="0"/>
            </w:tcBorders>
            <w:vAlign w:val="center"/>
          </w:tcPr>
          <w:p w14:paraId="28959A8B">
            <w:pPr>
              <w:jc w:val="center"/>
              <w:rPr>
                <w:rFonts w:hint="eastAsia" w:ascii="宋体" w:hAnsi="宋体" w:eastAsia="宋体" w:cs="宋体"/>
                <w:color w:val="auto"/>
                <w:sz w:val="24"/>
                <w:szCs w:val="24"/>
              </w:rPr>
            </w:pPr>
            <w:r>
              <w:rPr>
                <w:rFonts w:hint="eastAsia" w:ascii="宋体" w:hAnsi="宋体" w:eastAsia="宋体" w:cs="宋体"/>
                <w:color w:val="auto"/>
                <w:sz w:val="24"/>
                <w:szCs w:val="24"/>
                <w:highlight w:val="none"/>
              </w:rPr>
              <w:t>重、难点分析及建议</w:t>
            </w:r>
          </w:p>
        </w:tc>
        <w:tc>
          <w:tcPr>
            <w:tcW w:w="954" w:type="dxa"/>
            <w:tcBorders>
              <w:top w:val="single" w:color="auto" w:sz="4" w:space="0"/>
              <w:left w:val="single" w:color="auto" w:sz="4" w:space="0"/>
              <w:bottom w:val="single" w:color="auto" w:sz="4" w:space="0"/>
              <w:right w:val="single" w:color="auto" w:sz="4" w:space="0"/>
            </w:tcBorders>
            <w:vAlign w:val="center"/>
          </w:tcPr>
          <w:p w14:paraId="6C934908">
            <w:pPr>
              <w:keepNext w:val="0"/>
              <w:keepLines w:val="0"/>
              <w:pageBreakBefore w:val="0"/>
              <w:kinsoku/>
              <w:wordWrap/>
              <w:overflowPunct/>
              <w:topLinePunct w:val="0"/>
              <w:bidi w:val="0"/>
              <w:adjustRightInd/>
              <w:snapToGrid/>
              <w:spacing w:line="360" w:lineRule="exact"/>
              <w:ind w:left="0" w:leftChars="0" w:right="0"/>
              <w:jc w:val="center"/>
              <w:textAlignment w:val="auto"/>
              <w:rPr>
                <w:rFonts w:hint="eastAsia" w:ascii="宋体" w:hAnsi="宋体" w:eastAsia="宋体" w:cs="宋体"/>
                <w:color w:val="auto"/>
                <w:spacing w:val="-6"/>
                <w:kern w:val="0"/>
                <w:sz w:val="24"/>
                <w:szCs w:val="24"/>
              </w:rPr>
            </w:pPr>
            <w:r>
              <w:rPr>
                <w:rFonts w:hint="eastAsia" w:ascii="宋体" w:hAnsi="宋体" w:eastAsia="宋体" w:cs="宋体"/>
                <w:color w:val="auto"/>
                <w:spacing w:val="-6"/>
                <w:kern w:val="0"/>
                <w:sz w:val="24"/>
                <w:szCs w:val="24"/>
                <w:lang w:val="en-US" w:eastAsia="zh-CN"/>
              </w:rPr>
              <w:t>6分</w:t>
            </w:r>
          </w:p>
        </w:tc>
        <w:tc>
          <w:tcPr>
            <w:tcW w:w="5893" w:type="dxa"/>
            <w:tcBorders>
              <w:top w:val="single" w:color="auto" w:sz="4" w:space="0"/>
              <w:left w:val="single" w:color="auto" w:sz="4" w:space="0"/>
              <w:bottom w:val="single" w:color="auto" w:sz="4" w:space="0"/>
              <w:right w:val="single" w:color="auto" w:sz="4" w:space="0"/>
            </w:tcBorders>
            <w:vAlign w:val="center"/>
          </w:tcPr>
          <w:p w14:paraId="40CF25F6">
            <w:pPr>
              <w:keepNext w:val="0"/>
              <w:keepLines w:val="0"/>
              <w:pageBreakBefore w:val="0"/>
              <w:numPr>
                <w:ilvl w:val="0"/>
                <w:numId w:val="0"/>
              </w:numPr>
              <w:kinsoku/>
              <w:wordWrap/>
              <w:overflowPunct/>
              <w:topLinePunct w:val="0"/>
              <w:bidi w:val="0"/>
              <w:adjustRightInd/>
              <w:snapToGrid/>
              <w:spacing w:line="360" w:lineRule="exact"/>
              <w:ind w:left="0"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pacing w:val="-6"/>
                <w:sz w:val="24"/>
                <w:szCs w:val="24"/>
                <w:lang w:val="en-US" w:eastAsia="zh-CN"/>
              </w:rPr>
              <w:t>1、包含①重难点分析；②针对性解决措施；</w:t>
            </w:r>
            <w:r>
              <w:rPr>
                <w:rFonts w:hint="eastAsia" w:ascii="宋体" w:hAnsi="宋体" w:eastAsia="宋体" w:cs="宋体"/>
                <w:color w:val="auto"/>
                <w:sz w:val="24"/>
                <w:szCs w:val="24"/>
                <w:highlight w:val="none"/>
                <w:lang w:val="en-US" w:eastAsia="zh-CN"/>
              </w:rPr>
              <w:t>③相关建议；每项2分，齐全得6分，每</w:t>
            </w:r>
            <w:r>
              <w:rPr>
                <w:rFonts w:hint="eastAsia" w:ascii="宋体" w:hAnsi="宋体" w:eastAsia="宋体" w:cs="宋体"/>
                <w:color w:val="auto"/>
                <w:sz w:val="24"/>
                <w:szCs w:val="24"/>
                <w:highlight w:val="none"/>
              </w:rPr>
              <w:t>缺少1项内容扣</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w:t>
            </w:r>
          </w:p>
          <w:p w14:paraId="579F8F3D">
            <w:pPr>
              <w:keepNext w:val="0"/>
              <w:keepLines w:val="0"/>
              <w:pageBreakBefore w:val="0"/>
              <w:kinsoku/>
              <w:wordWrap/>
              <w:overflowPunct/>
              <w:topLinePunct w:val="0"/>
              <w:bidi w:val="0"/>
              <w:adjustRightInd/>
              <w:snapToGrid/>
              <w:spacing w:line="360" w:lineRule="exact"/>
              <w:ind w:left="0" w:right="0"/>
              <w:textAlignment w:val="auto"/>
              <w:rPr>
                <w:rFonts w:hint="eastAsia" w:ascii="宋体" w:hAnsi="宋体" w:eastAsia="宋体" w:cs="宋体"/>
                <w:color w:val="auto"/>
                <w:spacing w:val="-6"/>
                <w:sz w:val="24"/>
                <w:szCs w:val="24"/>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以上内容每项未结合项目实际的扣</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分，累计最高扣</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w:t>
            </w:r>
          </w:p>
        </w:tc>
      </w:tr>
      <w:tr w14:paraId="5322E9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40" w:hRule="atLeast"/>
          <w:jc w:val="center"/>
        </w:trPr>
        <w:tc>
          <w:tcPr>
            <w:tcW w:w="994" w:type="dxa"/>
            <w:vMerge w:val="continue"/>
            <w:tcBorders>
              <w:top w:val="single" w:color="auto" w:sz="4" w:space="0"/>
              <w:left w:val="single" w:color="auto" w:sz="4" w:space="0"/>
              <w:bottom w:val="single" w:color="auto" w:sz="4" w:space="0"/>
              <w:right w:val="single" w:color="auto" w:sz="4" w:space="0"/>
            </w:tcBorders>
            <w:vAlign w:val="center"/>
          </w:tcPr>
          <w:p w14:paraId="17947AC8">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sz w:val="24"/>
                <w:szCs w:val="24"/>
              </w:rPr>
            </w:pPr>
          </w:p>
        </w:tc>
        <w:tc>
          <w:tcPr>
            <w:tcW w:w="1485" w:type="dxa"/>
            <w:tcBorders>
              <w:top w:val="single" w:color="auto" w:sz="4" w:space="0"/>
              <w:left w:val="single" w:color="auto" w:sz="4" w:space="0"/>
              <w:bottom w:val="single" w:color="auto" w:sz="4" w:space="0"/>
              <w:right w:val="single" w:color="auto" w:sz="4" w:space="0"/>
            </w:tcBorders>
            <w:vAlign w:val="center"/>
          </w:tcPr>
          <w:p w14:paraId="569FEBD9">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售后服务方案</w:t>
            </w:r>
          </w:p>
        </w:tc>
        <w:tc>
          <w:tcPr>
            <w:tcW w:w="954" w:type="dxa"/>
            <w:tcBorders>
              <w:top w:val="single" w:color="auto" w:sz="4" w:space="0"/>
              <w:left w:val="single" w:color="auto" w:sz="4" w:space="0"/>
              <w:bottom w:val="single" w:color="auto" w:sz="4" w:space="0"/>
              <w:right w:val="single" w:color="auto" w:sz="4" w:space="0"/>
            </w:tcBorders>
            <w:vAlign w:val="center"/>
          </w:tcPr>
          <w:p w14:paraId="4A0CB9CE">
            <w:pPr>
              <w:keepNext w:val="0"/>
              <w:keepLines w:val="0"/>
              <w:pageBreakBefore w:val="0"/>
              <w:kinsoku/>
              <w:wordWrap/>
              <w:overflowPunct/>
              <w:topLinePunct w:val="0"/>
              <w:bidi w:val="0"/>
              <w:adjustRightInd/>
              <w:snapToGrid/>
              <w:spacing w:line="360" w:lineRule="exact"/>
              <w:ind w:left="0" w:leftChars="0" w:right="0"/>
              <w:jc w:val="center"/>
              <w:textAlignment w:val="auto"/>
              <w:rPr>
                <w:rFonts w:hint="eastAsia" w:ascii="宋体" w:hAnsi="宋体" w:eastAsia="宋体" w:cs="宋体"/>
                <w:color w:val="auto"/>
                <w:spacing w:val="-6"/>
                <w:kern w:val="0"/>
                <w:sz w:val="24"/>
                <w:szCs w:val="24"/>
                <w:lang w:val="en-US" w:eastAsia="zh-CN"/>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分</w:t>
            </w:r>
          </w:p>
        </w:tc>
        <w:tc>
          <w:tcPr>
            <w:tcW w:w="5893" w:type="dxa"/>
            <w:tcBorders>
              <w:top w:val="single" w:color="auto" w:sz="4" w:space="0"/>
              <w:left w:val="single" w:color="auto" w:sz="4" w:space="0"/>
              <w:bottom w:val="single" w:color="auto" w:sz="4" w:space="0"/>
              <w:right w:val="single" w:color="auto" w:sz="4" w:space="0"/>
            </w:tcBorders>
            <w:vAlign w:val="center"/>
          </w:tcPr>
          <w:p w14:paraId="178BB007">
            <w:pPr>
              <w:keepNext w:val="0"/>
              <w:keepLines w:val="0"/>
              <w:pageBreakBefore w:val="0"/>
              <w:numPr>
                <w:ilvl w:val="0"/>
                <w:numId w:val="3"/>
              </w:numPr>
              <w:kinsoku/>
              <w:wordWrap/>
              <w:overflowPunct/>
              <w:topLinePunct w:val="0"/>
              <w:bidi w:val="0"/>
              <w:adjustRightInd/>
              <w:snapToGrid/>
              <w:spacing w:line="360" w:lineRule="exact"/>
              <w:ind w:left="0" w:right="0"/>
              <w:textAlignment w:val="auto"/>
              <w:rPr>
                <w:rFonts w:hint="eastAsia" w:ascii="宋体" w:hAnsi="宋体" w:eastAsia="宋体" w:cs="宋体"/>
                <w:color w:val="auto"/>
                <w:spacing w:val="-6"/>
                <w:sz w:val="24"/>
                <w:szCs w:val="24"/>
                <w:lang w:val="en-US" w:eastAsia="zh-CN"/>
              </w:rPr>
            </w:pPr>
            <w:r>
              <w:rPr>
                <w:rFonts w:hint="eastAsia" w:ascii="宋体" w:hAnsi="宋体" w:eastAsia="宋体" w:cs="宋体"/>
                <w:color w:val="auto"/>
                <w:sz w:val="24"/>
                <w:szCs w:val="24"/>
                <w:highlight w:val="none"/>
                <w:lang w:val="en-US" w:eastAsia="zh-CN"/>
              </w:rPr>
              <w:t>包含</w:t>
            </w:r>
            <w:r>
              <w:rPr>
                <w:rFonts w:hint="eastAsia" w:ascii="宋体" w:hAnsi="宋体" w:eastAsia="宋体" w:cs="宋体"/>
                <w:color w:val="auto"/>
                <w:spacing w:val="-6"/>
                <w:sz w:val="24"/>
                <w:szCs w:val="24"/>
                <w:lang w:val="en-US" w:eastAsia="zh-CN"/>
              </w:rPr>
              <w:t>①方案具体内容；②服务承诺；每项1.5分，齐全得3分，每缺少1项内容扣2分；</w:t>
            </w:r>
          </w:p>
          <w:p w14:paraId="2A9DE53E">
            <w:pPr>
              <w:pStyle w:val="2"/>
              <w:numPr>
                <w:ilvl w:val="0"/>
                <w:numId w:val="3"/>
              </w:numPr>
              <w:rPr>
                <w:rFonts w:hint="default"/>
                <w:lang w:val="en-US" w:eastAsia="zh-CN"/>
              </w:rPr>
            </w:pPr>
            <w:r>
              <w:rPr>
                <w:rFonts w:hint="eastAsia"/>
                <w:lang w:val="en-US" w:eastAsia="zh-CN"/>
              </w:rPr>
              <w:t>以上内容每项未结合项目实际的扣1分，累计最高扣2分。</w:t>
            </w:r>
          </w:p>
        </w:tc>
      </w:tr>
      <w:tr w14:paraId="1FF283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9" w:hRule="atLeast"/>
          <w:jc w:val="center"/>
        </w:trPr>
        <w:tc>
          <w:tcPr>
            <w:tcW w:w="994" w:type="dxa"/>
            <w:tcBorders>
              <w:top w:val="single" w:color="auto" w:sz="4" w:space="0"/>
              <w:left w:val="single" w:color="auto" w:sz="4" w:space="0"/>
              <w:bottom w:val="single" w:color="auto" w:sz="4" w:space="0"/>
              <w:right w:val="single" w:color="auto" w:sz="4" w:space="0"/>
            </w:tcBorders>
            <w:vAlign w:val="center"/>
          </w:tcPr>
          <w:p w14:paraId="0DFBBB45">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总分</w:t>
            </w:r>
          </w:p>
        </w:tc>
        <w:tc>
          <w:tcPr>
            <w:tcW w:w="8332" w:type="dxa"/>
            <w:gridSpan w:val="3"/>
            <w:tcBorders>
              <w:top w:val="single" w:color="auto" w:sz="4" w:space="0"/>
              <w:left w:val="single" w:color="auto" w:sz="4" w:space="0"/>
              <w:bottom w:val="single" w:color="auto" w:sz="4" w:space="0"/>
              <w:right w:val="single" w:color="auto" w:sz="4" w:space="0"/>
            </w:tcBorders>
            <w:vAlign w:val="center"/>
          </w:tcPr>
          <w:p w14:paraId="441BE824">
            <w:pPr>
              <w:keepNext w:val="0"/>
              <w:keepLines w:val="0"/>
              <w:pageBreakBefore w:val="0"/>
              <w:kinsoku/>
              <w:wordWrap/>
              <w:overflowPunct/>
              <w:topLinePunct w:val="0"/>
              <w:bidi w:val="0"/>
              <w:adjustRightInd/>
              <w:snapToGrid/>
              <w:spacing w:line="360" w:lineRule="exact"/>
              <w:ind w:left="0" w:right="0"/>
              <w:jc w:val="center"/>
              <w:textAlignment w:val="auto"/>
              <w:rPr>
                <w:rFonts w:hint="eastAsia" w:ascii="宋体" w:hAnsi="宋体" w:eastAsia="宋体" w:cs="宋体"/>
                <w:color w:val="auto"/>
                <w:spacing w:val="-6"/>
                <w:kern w:val="0"/>
                <w:sz w:val="24"/>
                <w:szCs w:val="24"/>
              </w:rPr>
            </w:pPr>
            <w:r>
              <w:rPr>
                <w:rFonts w:hint="eastAsia" w:ascii="宋体" w:hAnsi="宋体" w:eastAsia="宋体" w:cs="宋体"/>
                <w:color w:val="auto"/>
                <w:sz w:val="24"/>
                <w:szCs w:val="24"/>
              </w:rPr>
              <w:t>100分</w:t>
            </w:r>
          </w:p>
        </w:tc>
      </w:tr>
    </w:tbl>
    <w:p w14:paraId="580F00F0">
      <w:pPr>
        <w:spacing w:line="300" w:lineRule="auto"/>
        <w:outlineLvl w:val="9"/>
        <w:rPr>
          <w:rFonts w:hint="eastAsia" w:ascii="宋体" w:hAnsi="宋体"/>
          <w:snapToGrid w:val="0"/>
          <w:kern w:val="0"/>
          <w:sz w:val="21"/>
          <w:szCs w:val="21"/>
          <w:lang w:val="zh-CN"/>
        </w:rPr>
      </w:pPr>
    </w:p>
    <w:sectPr>
      <w:headerReference r:id="rId5" w:type="default"/>
      <w:footerReference r:id="rId6" w:type="default"/>
      <w:pgSz w:w="11906" w:h="16838"/>
      <w:pgMar w:top="1417" w:right="1701" w:bottom="1417" w:left="170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1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454234"/>
    </w:sdtPr>
    <w:sdtContent>
      <w:p w14:paraId="207E95D4">
        <w:pPr>
          <w:pStyle w:val="13"/>
          <w:jc w:val="center"/>
        </w:pPr>
        <w:r>
          <w:fldChar w:fldCharType="begin"/>
        </w:r>
        <w:r>
          <w:instrText xml:space="preserve">PAGE   \* MERGEFORMAT</w:instrText>
        </w:r>
        <w:r>
          <w:fldChar w:fldCharType="separate"/>
        </w:r>
        <w:r>
          <w:rPr>
            <w:lang w:val="zh-CN"/>
          </w:rPr>
          <w:t>5</w:t>
        </w:r>
        <w:r>
          <w:fldChar w:fldCharType="end"/>
        </w:r>
      </w:p>
    </w:sdtContent>
  </w:sdt>
  <w:p w14:paraId="596D4EE1">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4718876"/>
    </w:sdtPr>
    <w:sdtContent>
      <w:p w14:paraId="7922029F">
        <w:pPr>
          <w:pStyle w:val="13"/>
          <w:jc w:val="center"/>
        </w:pPr>
        <w:r>
          <w:fldChar w:fldCharType="begin"/>
        </w:r>
        <w:r>
          <w:instrText xml:space="preserve">PAGE   \* MERGEFORMAT</w:instrText>
        </w:r>
        <w:r>
          <w:fldChar w:fldCharType="separate"/>
        </w:r>
        <w:r>
          <w:rPr>
            <w:lang w:val="zh-CN"/>
          </w:rPr>
          <w:t>76</w:t>
        </w:r>
        <w:r>
          <w:fldChar w:fldCharType="end"/>
        </w:r>
      </w:p>
    </w:sdtContent>
  </w:sdt>
  <w:p w14:paraId="608FA24D">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87185">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F912A">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88F912A">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5A490">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A84B13"/>
    <w:multiLevelType w:val="multilevel"/>
    <w:tmpl w:val="3FA84B13"/>
    <w:lvl w:ilvl="0" w:tentative="0">
      <w:start w:val="1"/>
      <w:numFmt w:val="decimal"/>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7A9E171"/>
    <w:multiLevelType w:val="singleLevel"/>
    <w:tmpl w:val="67A9E171"/>
    <w:lvl w:ilvl="0" w:tentative="0">
      <w:start w:val="1"/>
      <w:numFmt w:val="decimal"/>
      <w:suff w:val="nothing"/>
      <w:lvlText w:val="%1、"/>
      <w:lvlJc w:val="left"/>
    </w:lvl>
  </w:abstractNum>
  <w:abstractNum w:abstractNumId="2">
    <w:nsid w:val="6DE718F7"/>
    <w:multiLevelType w:val="multilevel"/>
    <w:tmpl w:val="6DE718F7"/>
    <w:lvl w:ilvl="0" w:tentative="0">
      <w:start w:val="1"/>
      <w:numFmt w:val="decimal"/>
      <w:suff w:val="nothing"/>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3YTkxYjIxOGI1MzQ1ZTZjMDU3MzJiMDgyN2Y0MDcifQ=="/>
  </w:docVars>
  <w:rsids>
    <w:rsidRoot w:val="00000000"/>
    <w:rsid w:val="003577A2"/>
    <w:rsid w:val="02356613"/>
    <w:rsid w:val="02687066"/>
    <w:rsid w:val="04BD38C2"/>
    <w:rsid w:val="06EE06AA"/>
    <w:rsid w:val="087B41C0"/>
    <w:rsid w:val="087D2AC8"/>
    <w:rsid w:val="0B3B4BD7"/>
    <w:rsid w:val="0B82678F"/>
    <w:rsid w:val="0C2F779B"/>
    <w:rsid w:val="0D675243"/>
    <w:rsid w:val="0D70006B"/>
    <w:rsid w:val="0DD71E98"/>
    <w:rsid w:val="0F716774"/>
    <w:rsid w:val="0FA248FD"/>
    <w:rsid w:val="10CF50A9"/>
    <w:rsid w:val="11B36DBC"/>
    <w:rsid w:val="124D2729"/>
    <w:rsid w:val="14994983"/>
    <w:rsid w:val="1512522B"/>
    <w:rsid w:val="15E909BB"/>
    <w:rsid w:val="16A63E2C"/>
    <w:rsid w:val="16AC2532"/>
    <w:rsid w:val="18BF7971"/>
    <w:rsid w:val="1B837294"/>
    <w:rsid w:val="1BA809D0"/>
    <w:rsid w:val="1BB92BDD"/>
    <w:rsid w:val="1C074BB1"/>
    <w:rsid w:val="1CF540E9"/>
    <w:rsid w:val="1E562965"/>
    <w:rsid w:val="1ED3622A"/>
    <w:rsid w:val="204013C7"/>
    <w:rsid w:val="211A5ECC"/>
    <w:rsid w:val="23655450"/>
    <w:rsid w:val="23A47173"/>
    <w:rsid w:val="264A1001"/>
    <w:rsid w:val="26D74844"/>
    <w:rsid w:val="26DB434F"/>
    <w:rsid w:val="270F31BA"/>
    <w:rsid w:val="28460B31"/>
    <w:rsid w:val="28B25693"/>
    <w:rsid w:val="29D56EB4"/>
    <w:rsid w:val="29E5692E"/>
    <w:rsid w:val="2A1857C2"/>
    <w:rsid w:val="2A32072A"/>
    <w:rsid w:val="2A3A7F62"/>
    <w:rsid w:val="2C372028"/>
    <w:rsid w:val="2EE409A3"/>
    <w:rsid w:val="312D31CB"/>
    <w:rsid w:val="31EE72B3"/>
    <w:rsid w:val="31F5369E"/>
    <w:rsid w:val="322111BB"/>
    <w:rsid w:val="34B857C8"/>
    <w:rsid w:val="363F687F"/>
    <w:rsid w:val="36A05E08"/>
    <w:rsid w:val="36AF4E64"/>
    <w:rsid w:val="37C87FD8"/>
    <w:rsid w:val="39EC4845"/>
    <w:rsid w:val="3DB678ED"/>
    <w:rsid w:val="3DFE2802"/>
    <w:rsid w:val="43210EE4"/>
    <w:rsid w:val="43AA2C88"/>
    <w:rsid w:val="443F21D5"/>
    <w:rsid w:val="44C5713F"/>
    <w:rsid w:val="44CF207D"/>
    <w:rsid w:val="453573EE"/>
    <w:rsid w:val="46736BA7"/>
    <w:rsid w:val="4841289B"/>
    <w:rsid w:val="4A143551"/>
    <w:rsid w:val="4AE9678B"/>
    <w:rsid w:val="4B3D25F2"/>
    <w:rsid w:val="4E401437"/>
    <w:rsid w:val="4F4A68DB"/>
    <w:rsid w:val="4F4C72E9"/>
    <w:rsid w:val="4F575983"/>
    <w:rsid w:val="50125E3D"/>
    <w:rsid w:val="50B43A63"/>
    <w:rsid w:val="521D32F7"/>
    <w:rsid w:val="55B7042E"/>
    <w:rsid w:val="55B94317"/>
    <w:rsid w:val="59897E5D"/>
    <w:rsid w:val="5B694DCD"/>
    <w:rsid w:val="5CB251A6"/>
    <w:rsid w:val="5D6F0D72"/>
    <w:rsid w:val="60700F2E"/>
    <w:rsid w:val="6311712F"/>
    <w:rsid w:val="67FB10B8"/>
    <w:rsid w:val="68E20820"/>
    <w:rsid w:val="68E661CD"/>
    <w:rsid w:val="6A560977"/>
    <w:rsid w:val="6C3144F7"/>
    <w:rsid w:val="6C49355B"/>
    <w:rsid w:val="6C830396"/>
    <w:rsid w:val="6E184B0E"/>
    <w:rsid w:val="6E301E58"/>
    <w:rsid w:val="6F1C67EB"/>
    <w:rsid w:val="723764DA"/>
    <w:rsid w:val="72D10F0B"/>
    <w:rsid w:val="73511E98"/>
    <w:rsid w:val="754E350B"/>
    <w:rsid w:val="76011766"/>
    <w:rsid w:val="767A60DA"/>
    <w:rsid w:val="79062B62"/>
    <w:rsid w:val="7B2F16E9"/>
    <w:rsid w:val="7C415392"/>
    <w:rsid w:val="7C8C73F6"/>
    <w:rsid w:val="7E260B81"/>
    <w:rsid w:val="7FEC7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autoRedefine/>
    <w:qFormat/>
    <w:uiPriority w:val="99"/>
    <w:pPr>
      <w:keepNext/>
      <w:keepLines/>
      <w:spacing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unhideWhenUsed/>
    <w:qFormat/>
    <w:uiPriority w:val="9"/>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20">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styleId="7">
    <w:name w:val="Document Map"/>
    <w:basedOn w:val="1"/>
    <w:autoRedefine/>
    <w:unhideWhenUsed/>
    <w:qFormat/>
    <w:uiPriority w:val="99"/>
    <w:pPr>
      <w:shd w:val="clear" w:color="auto" w:fill="000080"/>
    </w:pPr>
  </w:style>
  <w:style w:type="paragraph" w:styleId="8">
    <w:name w:val="annotation text"/>
    <w:basedOn w:val="1"/>
    <w:autoRedefine/>
    <w:qFormat/>
    <w:uiPriority w:val="99"/>
    <w:pPr>
      <w:jc w:val="left"/>
    </w:pPr>
    <w:rPr>
      <w:rFonts w:ascii="Times New Roman" w:hAnsi="Times New Roman"/>
      <w:szCs w:val="24"/>
    </w:rPr>
  </w:style>
  <w:style w:type="paragraph" w:styleId="9">
    <w:name w:val="Body Text"/>
    <w:basedOn w:val="1"/>
    <w:autoRedefine/>
    <w:qFormat/>
    <w:uiPriority w:val="99"/>
    <w:pPr>
      <w:spacing w:after="120"/>
    </w:pPr>
    <w:rPr>
      <w:kern w:val="0"/>
      <w:sz w:val="20"/>
    </w:rPr>
  </w:style>
  <w:style w:type="paragraph" w:styleId="10">
    <w:name w:val="Body Text Indent"/>
    <w:basedOn w:val="1"/>
    <w:autoRedefine/>
    <w:qFormat/>
    <w:uiPriority w:val="0"/>
    <w:pPr>
      <w:ind w:firstLine="540"/>
    </w:pPr>
    <w:rPr>
      <w:b/>
      <w:sz w:val="32"/>
      <w:szCs w:val="20"/>
    </w:rPr>
  </w:style>
  <w:style w:type="paragraph" w:styleId="11">
    <w:name w:val="index 4"/>
    <w:basedOn w:val="1"/>
    <w:next w:val="1"/>
    <w:qFormat/>
    <w:uiPriority w:val="0"/>
    <w:pPr>
      <w:ind w:left="600" w:leftChars="600"/>
    </w:pPr>
    <w:rPr>
      <w:rFonts w:ascii="Times New Roman" w:hAnsi="Times New Roman" w:eastAsia="宋体" w:cs="Times New Roman"/>
    </w:rPr>
  </w:style>
  <w:style w:type="paragraph" w:styleId="12">
    <w:name w:val="Plain Text"/>
    <w:basedOn w:val="1"/>
    <w:autoRedefine/>
    <w:qFormat/>
    <w:uiPriority w:val="99"/>
    <w:rPr>
      <w:rFonts w:ascii="宋体" w:hAnsi="Courier New"/>
    </w:rPr>
  </w:style>
  <w:style w:type="paragraph" w:styleId="13">
    <w:name w:val="footer"/>
    <w:basedOn w:val="1"/>
    <w:autoRedefine/>
    <w:qFormat/>
    <w:uiPriority w:val="0"/>
    <w:pPr>
      <w:tabs>
        <w:tab w:val="center" w:pos="4153"/>
        <w:tab w:val="right" w:pos="8306"/>
      </w:tabs>
      <w:snapToGrid w:val="0"/>
      <w:jc w:val="left"/>
    </w:pPr>
    <w:rPr>
      <w:sz w:val="18"/>
    </w:rPr>
  </w:style>
  <w:style w:type="paragraph" w:styleId="14">
    <w:name w:val="envelope return"/>
    <w:basedOn w:val="1"/>
    <w:autoRedefine/>
    <w:qFormat/>
    <w:uiPriority w:val="0"/>
    <w:pPr>
      <w:widowControl w:val="0"/>
      <w:snapToGrid w:val="0"/>
      <w:jc w:val="both"/>
    </w:pPr>
    <w:rPr>
      <w:rFonts w:ascii="Arial" w:hAnsi="Arial" w:eastAsia="宋体" w:cs="Times New Roman"/>
      <w:kern w:val="2"/>
      <w:sz w:val="21"/>
      <w:szCs w:val="24"/>
      <w:lang w:val="en-US" w:eastAsia="zh-CN" w:bidi="ar-SA"/>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autoRedefine/>
    <w:qFormat/>
    <w:uiPriority w:val="0"/>
    <w:pPr>
      <w:spacing w:before="0" w:beforeAutospacing="0" w:after="150" w:afterAutospacing="0"/>
      <w:ind w:left="0" w:right="0"/>
      <w:jc w:val="left"/>
    </w:pPr>
    <w:rPr>
      <w:kern w:val="0"/>
      <w:sz w:val="24"/>
      <w:lang w:val="en-US" w:eastAsia="zh-CN" w:bidi="ar"/>
    </w:rPr>
  </w:style>
  <w:style w:type="paragraph" w:styleId="17">
    <w:name w:val="Body Text First Indent"/>
    <w:basedOn w:val="9"/>
    <w:unhideWhenUsed/>
    <w:qFormat/>
    <w:uiPriority w:val="99"/>
    <w:pPr>
      <w:ind w:firstLine="420" w:firstLineChars="100"/>
    </w:pPr>
  </w:style>
  <w:style w:type="paragraph" w:styleId="18">
    <w:name w:val="Body Text First Indent 2"/>
    <w:basedOn w:val="10"/>
    <w:autoRedefine/>
    <w:qFormat/>
    <w:uiPriority w:val="0"/>
    <w:pPr>
      <w:spacing w:after="120"/>
      <w:ind w:left="420" w:leftChars="200" w:firstLine="420" w:firstLineChars="200"/>
    </w:pPr>
    <w:rPr>
      <w:b w:val="0"/>
      <w:sz w:val="21"/>
      <w:szCs w:val="24"/>
    </w:rPr>
  </w:style>
  <w:style w:type="character" w:styleId="21">
    <w:name w:val="Strong"/>
    <w:basedOn w:val="20"/>
    <w:autoRedefine/>
    <w:qFormat/>
    <w:uiPriority w:val="0"/>
    <w:rPr>
      <w:b/>
      <w:bCs/>
    </w:rPr>
  </w:style>
  <w:style w:type="character" w:styleId="22">
    <w:name w:val="FollowedHyperlink"/>
    <w:basedOn w:val="20"/>
    <w:autoRedefine/>
    <w:qFormat/>
    <w:uiPriority w:val="0"/>
    <w:rPr>
      <w:color w:val="333333"/>
      <w:u w:val="none"/>
    </w:rPr>
  </w:style>
  <w:style w:type="character" w:styleId="23">
    <w:name w:val="HTML Definition"/>
    <w:basedOn w:val="20"/>
    <w:autoRedefine/>
    <w:qFormat/>
    <w:uiPriority w:val="0"/>
    <w:rPr>
      <w:i/>
      <w:iCs/>
    </w:rPr>
  </w:style>
  <w:style w:type="character" w:styleId="24">
    <w:name w:val="Hyperlink"/>
    <w:basedOn w:val="20"/>
    <w:autoRedefine/>
    <w:qFormat/>
    <w:uiPriority w:val="0"/>
    <w:rPr>
      <w:color w:val="333333"/>
      <w:u w:val="none"/>
    </w:rPr>
  </w:style>
  <w:style w:type="character" w:styleId="25">
    <w:name w:val="HTML Code"/>
    <w:basedOn w:val="20"/>
    <w:autoRedefine/>
    <w:qFormat/>
    <w:uiPriority w:val="0"/>
    <w:rPr>
      <w:rFonts w:ascii="Consolas" w:hAnsi="Consolas" w:eastAsia="Consolas" w:cs="Consolas"/>
      <w:color w:val="C7254E"/>
      <w:sz w:val="21"/>
      <w:szCs w:val="21"/>
      <w:shd w:val="clear" w:fill="F9F2F4"/>
    </w:rPr>
  </w:style>
  <w:style w:type="character" w:styleId="26">
    <w:name w:val="HTML Keyboard"/>
    <w:basedOn w:val="20"/>
    <w:autoRedefine/>
    <w:qFormat/>
    <w:uiPriority w:val="0"/>
    <w:rPr>
      <w:rFonts w:hint="default" w:ascii="Consolas" w:hAnsi="Consolas" w:eastAsia="Consolas" w:cs="Consolas"/>
      <w:color w:val="FFFFFF"/>
      <w:sz w:val="21"/>
      <w:szCs w:val="21"/>
      <w:shd w:val="clear" w:fill="333333"/>
    </w:rPr>
  </w:style>
  <w:style w:type="character" w:styleId="27">
    <w:name w:val="HTML Sample"/>
    <w:basedOn w:val="20"/>
    <w:autoRedefine/>
    <w:qFormat/>
    <w:uiPriority w:val="0"/>
    <w:rPr>
      <w:rFonts w:hint="default" w:ascii="Consolas" w:hAnsi="Consolas" w:eastAsia="Consolas" w:cs="Consolas"/>
      <w:sz w:val="21"/>
      <w:szCs w:val="21"/>
    </w:rPr>
  </w:style>
  <w:style w:type="paragraph" w:customStyle="1" w:styleId="28">
    <w:name w:val="表格文字"/>
    <w:basedOn w:val="29"/>
    <w:next w:val="1"/>
    <w:autoRedefine/>
    <w:qFormat/>
    <w:uiPriority w:val="0"/>
    <w:pPr>
      <w:adjustRightInd w:val="0"/>
      <w:spacing w:line="420" w:lineRule="atLeast"/>
      <w:jc w:val="left"/>
      <w:textAlignment w:val="baseline"/>
    </w:pPr>
    <w:rPr>
      <w:kern w:val="0"/>
      <w:szCs w:val="20"/>
    </w:rPr>
  </w:style>
  <w:style w:type="paragraph" w:customStyle="1" w:styleId="29">
    <w:name w:val="正文1"/>
    <w:next w:val="30"/>
    <w:autoRedefine/>
    <w:qFormat/>
    <w:uiPriority w:val="0"/>
    <w:pPr>
      <w:widowControl w:val="0"/>
      <w:suppressAutoHyphens w:val="0"/>
      <w:bidi w:val="0"/>
      <w:spacing w:before="0" w:after="0"/>
      <w:jc w:val="both"/>
    </w:pPr>
    <w:rPr>
      <w:rFonts w:ascii="Calibri" w:hAnsi="Calibri" w:eastAsia="宋体" w:cs="Times New Roman"/>
      <w:color w:val="auto"/>
      <w:kern w:val="2"/>
      <w:sz w:val="21"/>
      <w:szCs w:val="22"/>
      <w:lang w:val="en-US" w:eastAsia="zh-CN" w:bidi="ar-SA"/>
    </w:rPr>
  </w:style>
  <w:style w:type="paragraph" w:customStyle="1" w:styleId="30">
    <w:name w:val="正文文本1"/>
    <w:basedOn w:val="29"/>
    <w:autoRedefine/>
    <w:qFormat/>
    <w:uiPriority w:val="99"/>
    <w:pPr>
      <w:spacing w:before="0" w:after="120"/>
    </w:pPr>
    <w:rPr>
      <w:kern w:val="0"/>
      <w:sz w:val="20"/>
    </w:rPr>
  </w:style>
  <w:style w:type="character" w:customStyle="1" w:styleId="31">
    <w:name w:val="time4"/>
    <w:basedOn w:val="20"/>
    <w:autoRedefine/>
    <w:qFormat/>
    <w:uiPriority w:val="0"/>
    <w:rPr>
      <w:color w:val="484848"/>
    </w:rPr>
  </w:style>
  <w:style w:type="character" w:customStyle="1" w:styleId="32">
    <w:name w:val="time"/>
    <w:basedOn w:val="20"/>
    <w:autoRedefine/>
    <w:qFormat/>
    <w:uiPriority w:val="0"/>
    <w:rPr>
      <w:color w:val="484848"/>
    </w:rPr>
  </w:style>
  <w:style w:type="paragraph" w:customStyle="1" w:styleId="33">
    <w:name w:val="正文 首行缩进:  2 字符"/>
    <w:basedOn w:val="1"/>
    <w:autoRedefine/>
    <w:qFormat/>
    <w:uiPriority w:val="0"/>
    <w:pPr>
      <w:ind w:firstLine="579" w:firstLineChars="200"/>
    </w:pPr>
    <w:rPr>
      <w:rFonts w:cs="宋体"/>
      <w:szCs w:val="20"/>
    </w:rPr>
  </w:style>
  <w:style w:type="paragraph" w:customStyle="1" w:styleId="34">
    <w:name w:val="Char Char Char Char"/>
    <w:basedOn w:val="7"/>
    <w:autoRedefine/>
    <w:qFormat/>
    <w:uiPriority w:val="0"/>
    <w:pPr>
      <w:adjustRightInd w:val="0"/>
      <w:snapToGrid w:val="0"/>
      <w:spacing w:line="360" w:lineRule="auto"/>
    </w:pPr>
    <w:rPr>
      <w:rFonts w:ascii="仿宋_GB2312" w:eastAsia="仿宋_GB2312"/>
      <w:sz w:val="24"/>
    </w:rPr>
  </w:style>
  <w:style w:type="character" w:customStyle="1" w:styleId="35">
    <w:name w:val="font01"/>
    <w:basedOn w:val="20"/>
    <w:autoRedefine/>
    <w:qFormat/>
    <w:uiPriority w:val="0"/>
    <w:rPr>
      <w:rFonts w:hint="eastAsia" w:ascii="宋体" w:hAnsi="宋体" w:eastAsia="宋体" w:cs="宋体"/>
      <w:color w:val="000000"/>
      <w:sz w:val="22"/>
      <w:szCs w:val="22"/>
      <w:u w:val="none"/>
    </w:rPr>
  </w:style>
  <w:style w:type="character" w:customStyle="1" w:styleId="36">
    <w:name w:val="font41"/>
    <w:basedOn w:val="20"/>
    <w:autoRedefine/>
    <w:qFormat/>
    <w:uiPriority w:val="0"/>
    <w:rPr>
      <w:rFonts w:hint="eastAsia" w:ascii="宋体" w:hAnsi="宋体" w:eastAsia="宋体" w:cs="宋体"/>
      <w:color w:val="000000"/>
      <w:sz w:val="22"/>
      <w:szCs w:val="22"/>
      <w:u w:val="none"/>
    </w:rPr>
  </w:style>
  <w:style w:type="paragraph" w:customStyle="1" w:styleId="37">
    <w:name w:val="Table Paragraph"/>
    <w:basedOn w:val="1"/>
    <w:autoRedefine/>
    <w:qFormat/>
    <w:uiPriority w:val="1"/>
  </w:style>
  <w:style w:type="paragraph" w:customStyle="1" w:styleId="38">
    <w:name w:val="Table Text"/>
    <w:basedOn w:val="1"/>
    <w:autoRedefine/>
    <w:qFormat/>
    <w:uiPriority w:val="0"/>
    <w:rPr>
      <w:kern w:val="2"/>
      <w:sz w:val="18"/>
      <w:szCs w:val="24"/>
    </w:rPr>
  </w:style>
  <w:style w:type="paragraph" w:styleId="39">
    <w:name w:val="List Paragraph"/>
    <w:basedOn w:val="1"/>
    <w:qFormat/>
    <w:uiPriority w:val="34"/>
    <w:pPr>
      <w:ind w:firstLine="420" w:firstLineChars="200"/>
    </w:pPr>
  </w:style>
  <w:style w:type="paragraph" w:customStyle="1" w:styleId="40">
    <w:name w:val="Normal_0_1"/>
    <w:autoRedefine/>
    <w:qFormat/>
    <w:uiPriority w:val="0"/>
    <w:rPr>
      <w:rFonts w:ascii="Times New Roman" w:hAnsi="Times New Roman" w:eastAsia="Times New Roman" w:cs="Times New Roman"/>
      <w:sz w:val="24"/>
      <w:szCs w:val="24"/>
    </w:rPr>
  </w:style>
  <w:style w:type="character" w:customStyle="1" w:styleId="41">
    <w:name w:val="font21"/>
    <w:basedOn w:val="20"/>
    <w:qFormat/>
    <w:uiPriority w:val="0"/>
    <w:rPr>
      <w:rFonts w:hint="eastAsia" w:ascii="宋体" w:hAnsi="宋体" w:eastAsia="宋体" w:cs="宋体"/>
      <w:color w:val="000000"/>
      <w:sz w:val="24"/>
      <w:szCs w:val="24"/>
      <w:u w:val="none"/>
    </w:rPr>
  </w:style>
  <w:style w:type="paragraph" w:customStyle="1" w:styleId="42">
    <w:name w:val="Other|1"/>
    <w:basedOn w:val="1"/>
    <w:qFormat/>
    <w:uiPriority w:val="0"/>
    <w:pPr>
      <w:widowControl w:val="0"/>
      <w:shd w:val="clear" w:color="auto" w:fill="auto"/>
    </w:pPr>
    <w:rPr>
      <w:rFonts w:ascii="宋体" w:hAnsi="宋体" w:eastAsia="宋体" w:cs="宋体"/>
      <w:u w:val="none"/>
      <w:shd w:val="clear" w:color="auto" w:fill="auto"/>
      <w:lang w:val="zh-TW" w:eastAsia="zh-TW" w:bidi="zh-TW"/>
    </w:rPr>
  </w:style>
  <w:style w:type="paragraph" w:customStyle="1" w:styleId="43">
    <w:name w:val="列出段落1"/>
    <w:basedOn w:val="1"/>
    <w:autoRedefine/>
    <w:qFormat/>
    <w:uiPriority w:val="99"/>
    <w:pPr>
      <w:ind w:firstLine="420" w:firstLineChars="200"/>
    </w:pPr>
    <w:rPr>
      <w:sz w:val="22"/>
      <w:szCs w:val="20"/>
    </w:rPr>
  </w:style>
  <w:style w:type="paragraph" w:customStyle="1" w:styleId="44">
    <w:name w:val="正文缩进2"/>
    <w:basedOn w:val="1"/>
    <w:qFormat/>
    <w:uiPriority w:val="0"/>
    <w:pPr>
      <w:wordWrap w:val="0"/>
      <w:ind w:firstLine="200" w:firstLineChars="200"/>
    </w:pPr>
  </w:style>
  <w:style w:type="paragraph" w:styleId="45">
    <w:name w:val="No Spacing"/>
    <w:qFormat/>
    <w:uiPriority w:val="1"/>
    <w:pPr>
      <w:widowControl w:val="0"/>
    </w:pPr>
    <w:rPr>
      <w:rFonts w:ascii="宋体" w:hAnsi="宋体" w:eastAsia="宋体"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2421</Words>
  <Characters>2736</Characters>
  <Lines>0</Lines>
  <Paragraphs>0</Paragraphs>
  <TotalTime>0</TotalTime>
  <ScaleCrop>false</ScaleCrop>
  <LinksUpToDate>false</LinksUpToDate>
  <CharactersWithSpaces>2756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2022-07-22T04:17:00Z</dcterms:created>
  <dc:creator>Administrator</dc:creator>
  <cp:lastModifiedBy> 意中人</cp:lastModifiedBy>
  <dcterms:modified xsi:type="dcterms:W3CDTF">2026-04-16T06:24:30Z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76BAB0FA5EB54AD291D615D8083E8973</vt:lpwstr>
  </property>
  <property fmtid="{D5CDD505-2E9C-101B-9397-08002B2CF9AE}" pid="4" name="KSOTemplateDocerSaveRecord">
    <vt:lpwstr>eyJoZGlkIjoiNjYyYjhiMGY3YWJiZWQwZTM5ZjNjZTJiNGNiZjM1ZTgiLCJ1c2VySWQiOiI2MjQ2NjcxMTUifQ==</vt:lpwstr>
  </property>
</Properties>
</file>