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0E472B">
      <w:pPr>
        <w:spacing w:line="360" w:lineRule="auto"/>
        <w:ind w:firstLine="482" w:firstLineChars="200"/>
        <w:rPr>
          <w:rFonts w:hint="eastAsia" w:ascii="宋体" w:hAnsi="宋体" w:cs="宋体"/>
          <w:b/>
          <w:bCs/>
          <w:sz w:val="24"/>
          <w:highlight w:val="none"/>
          <w:lang w:val="en-US" w:eastAsia="zh-CN"/>
        </w:rPr>
      </w:pPr>
      <w:r>
        <w:rPr>
          <w:rFonts w:hint="eastAsia" w:ascii="宋体" w:hAnsi="宋体" w:cs="宋体"/>
          <w:b/>
          <w:bCs/>
          <w:sz w:val="24"/>
          <w:highlight w:val="none"/>
          <w:lang w:val="en-US" w:eastAsia="zh-CN"/>
        </w:rPr>
        <w:t>附件：</w:t>
      </w:r>
    </w:p>
    <w:p w14:paraId="0E3E90B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lang w:val="hr-HR"/>
        </w:rPr>
      </w:pPr>
      <w:r>
        <w:rPr>
          <w:rStyle w:val="8"/>
          <w:rFonts w:hint="eastAsia" w:ascii="宋体" w:hAnsi="宋体"/>
          <w:sz w:val="24"/>
          <w:szCs w:val="24"/>
          <w:highlight w:val="none"/>
          <w:lang w:val="hr-HR"/>
        </w:rPr>
        <w:t>1.</w:t>
      </w:r>
      <w:r>
        <w:rPr>
          <w:rStyle w:val="8"/>
          <w:rFonts w:hint="eastAsia" w:ascii="宋体" w:hAnsi="宋体"/>
          <w:sz w:val="24"/>
          <w:szCs w:val="24"/>
          <w:highlight w:val="none"/>
        </w:rPr>
        <w:t>采购计划备案号：</w:t>
      </w:r>
      <w:bookmarkStart w:id="0" w:name="_Hlk162011340"/>
      <w:r>
        <w:rPr>
          <w:rStyle w:val="8"/>
          <w:rFonts w:hint="eastAsia" w:ascii="宋体" w:hAnsi="宋体"/>
          <w:sz w:val="24"/>
          <w:szCs w:val="24"/>
          <w:highlight w:val="none"/>
          <w:lang w:eastAsia="zh-CN"/>
        </w:rPr>
        <w:t>421182-2025-00307</w:t>
      </w:r>
      <w:r>
        <w:rPr>
          <w:rStyle w:val="8"/>
          <w:rFonts w:hint="eastAsia" w:ascii="宋体" w:hAnsi="宋体"/>
          <w:sz w:val="24"/>
          <w:szCs w:val="24"/>
          <w:highlight w:val="none"/>
        </w:rPr>
        <w:t xml:space="preserve">     </w:t>
      </w:r>
      <w:r>
        <w:rPr>
          <w:rStyle w:val="8"/>
          <w:rFonts w:hint="eastAsia" w:ascii="宋体" w:hAnsi="宋体"/>
          <w:sz w:val="24"/>
          <w:szCs w:val="24"/>
          <w:highlight w:val="none"/>
          <w:lang w:val="hr-HR"/>
        </w:rPr>
        <w:t xml:space="preserve"> </w:t>
      </w:r>
      <w:bookmarkEnd w:id="0"/>
    </w:p>
    <w:p w14:paraId="796251B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lang w:val="en-US" w:eastAsia="zh-CN"/>
        </w:rPr>
      </w:pPr>
      <w:r>
        <w:rPr>
          <w:rStyle w:val="8"/>
          <w:rFonts w:hint="eastAsia" w:ascii="宋体" w:hAnsi="宋体"/>
          <w:sz w:val="24"/>
          <w:szCs w:val="24"/>
          <w:highlight w:val="none"/>
        </w:rPr>
        <w:t>2.</w:t>
      </w:r>
      <w:r>
        <w:rPr>
          <w:rStyle w:val="8"/>
          <w:rFonts w:hint="eastAsia" w:ascii="宋体" w:hAnsi="宋体"/>
          <w:sz w:val="24"/>
          <w:szCs w:val="24"/>
          <w:highlight w:val="none"/>
          <w:lang w:val="hr-HR"/>
        </w:rPr>
        <w:t>项目编号：</w:t>
      </w:r>
      <w:r>
        <w:rPr>
          <w:rStyle w:val="8"/>
          <w:rFonts w:hint="eastAsia" w:ascii="宋体" w:hAnsi="宋体"/>
          <w:sz w:val="24"/>
          <w:szCs w:val="24"/>
          <w:highlight w:val="none"/>
          <w:lang w:val="en-US" w:eastAsia="zh-CN"/>
        </w:rPr>
        <w:t>25CG</w:t>
      </w:r>
      <w:r>
        <w:rPr>
          <w:rStyle w:val="8"/>
          <w:rFonts w:hint="eastAsia" w:ascii="宋体" w:hAnsi="宋体"/>
          <w:sz w:val="24"/>
          <w:szCs w:val="24"/>
          <w:highlight w:val="none"/>
        </w:rPr>
        <w:t xml:space="preserve">           </w:t>
      </w:r>
      <w:r>
        <w:rPr>
          <w:rStyle w:val="8"/>
          <w:rFonts w:hint="eastAsia" w:ascii="宋体" w:hAnsi="宋体"/>
          <w:sz w:val="24"/>
          <w:szCs w:val="24"/>
          <w:highlight w:val="none"/>
          <w:lang w:val="hr-HR"/>
        </w:rPr>
        <w:t xml:space="preserve"> </w:t>
      </w:r>
      <w:r>
        <w:rPr>
          <w:rStyle w:val="8"/>
          <w:rFonts w:hint="eastAsia" w:ascii="宋体" w:hAnsi="宋体"/>
          <w:sz w:val="24"/>
          <w:szCs w:val="24"/>
          <w:highlight w:val="none"/>
          <w:lang w:val="en-US" w:eastAsia="zh-CN"/>
        </w:rPr>
        <w:t xml:space="preserve">       </w:t>
      </w:r>
    </w:p>
    <w:p w14:paraId="3C9BB7E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lang w:val="hr-HR"/>
        </w:rPr>
      </w:pPr>
      <w:r>
        <w:rPr>
          <w:rStyle w:val="8"/>
          <w:rFonts w:hint="eastAsia" w:ascii="宋体" w:hAnsi="宋体"/>
          <w:sz w:val="24"/>
          <w:szCs w:val="24"/>
          <w:highlight w:val="none"/>
          <w:lang w:val="hr-HR"/>
        </w:rPr>
        <w:t>3.项目名称：</w:t>
      </w:r>
      <w:r>
        <w:rPr>
          <w:rStyle w:val="8"/>
          <w:rFonts w:hint="eastAsia" w:ascii="宋体" w:hAnsi="宋体"/>
          <w:sz w:val="24"/>
          <w:szCs w:val="24"/>
          <w:highlight w:val="none"/>
          <w:lang w:eastAsia="zh-CN"/>
        </w:rPr>
        <w:t>武穴市妇幼保健院购置热层析成像技术设备采购</w:t>
      </w:r>
      <w:r>
        <w:rPr>
          <w:rStyle w:val="8"/>
          <w:rFonts w:hint="eastAsia" w:ascii="宋体" w:hAnsi="宋体"/>
          <w:sz w:val="24"/>
          <w:szCs w:val="24"/>
          <w:highlight w:val="none"/>
          <w:lang w:val="hr-HR"/>
        </w:rPr>
        <w:t xml:space="preserve"> </w:t>
      </w:r>
    </w:p>
    <w:p w14:paraId="2A417DC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lang w:val="hr-HR"/>
        </w:rPr>
      </w:pPr>
      <w:r>
        <w:rPr>
          <w:rStyle w:val="8"/>
          <w:rFonts w:hint="eastAsia" w:ascii="宋体" w:hAnsi="宋体"/>
          <w:sz w:val="24"/>
          <w:szCs w:val="24"/>
          <w:highlight w:val="none"/>
        </w:rPr>
        <w:t>4.采购方式：公开招标</w:t>
      </w:r>
    </w:p>
    <w:p w14:paraId="16EC2DD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lang w:val="hr-HR"/>
        </w:rPr>
      </w:pPr>
      <w:r>
        <w:rPr>
          <w:rStyle w:val="8"/>
          <w:rFonts w:hint="eastAsia" w:ascii="宋体" w:hAnsi="宋体"/>
          <w:sz w:val="24"/>
          <w:szCs w:val="24"/>
          <w:highlight w:val="none"/>
        </w:rPr>
        <w:t>5</w:t>
      </w:r>
      <w:r>
        <w:rPr>
          <w:rStyle w:val="8"/>
          <w:rFonts w:hint="eastAsia" w:ascii="宋体" w:hAnsi="宋体"/>
          <w:sz w:val="24"/>
          <w:szCs w:val="24"/>
          <w:highlight w:val="none"/>
          <w:lang w:val="hr-HR"/>
        </w:rPr>
        <w:t>.预算金额：</w:t>
      </w:r>
      <w:r>
        <w:rPr>
          <w:rStyle w:val="8"/>
          <w:rFonts w:hint="eastAsia" w:ascii="宋体" w:hAnsi="宋体"/>
          <w:sz w:val="24"/>
          <w:szCs w:val="24"/>
          <w:highlight w:val="none"/>
          <w:lang w:val="en-US" w:eastAsia="zh-CN"/>
        </w:rPr>
        <w:t>98</w:t>
      </w:r>
      <w:r>
        <w:rPr>
          <w:rStyle w:val="8"/>
          <w:rFonts w:hint="eastAsia" w:ascii="宋体" w:hAnsi="宋体"/>
          <w:sz w:val="24"/>
          <w:szCs w:val="24"/>
          <w:highlight w:val="none"/>
          <w:lang w:val="hr-HR"/>
        </w:rPr>
        <w:t>万元</w:t>
      </w:r>
    </w:p>
    <w:p w14:paraId="5D9C807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lang w:val="hr-HR"/>
        </w:rPr>
      </w:pPr>
      <w:r>
        <w:rPr>
          <w:rStyle w:val="8"/>
          <w:rFonts w:hint="eastAsia" w:ascii="宋体" w:hAnsi="宋体"/>
          <w:sz w:val="24"/>
          <w:szCs w:val="24"/>
          <w:highlight w:val="none"/>
          <w:lang w:val="hr-HR"/>
        </w:rPr>
        <w:t>6.</w:t>
      </w:r>
      <w:r>
        <w:rPr>
          <w:rStyle w:val="8"/>
          <w:rFonts w:hint="eastAsia" w:ascii="宋体" w:hAnsi="宋体"/>
          <w:sz w:val="24"/>
          <w:szCs w:val="24"/>
          <w:highlight w:val="none"/>
        </w:rPr>
        <w:t>最高限价</w:t>
      </w:r>
      <w:r>
        <w:rPr>
          <w:rStyle w:val="8"/>
          <w:rFonts w:hint="eastAsia" w:ascii="宋体" w:hAnsi="宋体"/>
          <w:sz w:val="24"/>
          <w:szCs w:val="24"/>
          <w:highlight w:val="none"/>
          <w:lang w:val="hr-HR"/>
        </w:rPr>
        <w:t>：</w:t>
      </w:r>
      <w:r>
        <w:rPr>
          <w:rStyle w:val="8"/>
          <w:rFonts w:hint="eastAsia" w:ascii="宋体" w:hAnsi="宋体"/>
          <w:sz w:val="24"/>
          <w:szCs w:val="24"/>
          <w:highlight w:val="none"/>
          <w:lang w:val="en-US" w:eastAsia="zh-CN"/>
        </w:rPr>
        <w:t>98</w:t>
      </w:r>
      <w:bookmarkStart w:id="20" w:name="_GoBack"/>
      <w:bookmarkEnd w:id="20"/>
      <w:r>
        <w:rPr>
          <w:rStyle w:val="8"/>
          <w:rFonts w:hint="eastAsia" w:ascii="宋体" w:hAnsi="宋体"/>
          <w:sz w:val="24"/>
          <w:szCs w:val="24"/>
          <w:highlight w:val="none"/>
        </w:rPr>
        <w:t>万元</w:t>
      </w:r>
    </w:p>
    <w:p w14:paraId="78FD3D6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lang w:val="hr-HR" w:eastAsia="zh-CN"/>
        </w:rPr>
      </w:pPr>
      <w:r>
        <w:rPr>
          <w:rStyle w:val="8"/>
          <w:rFonts w:hint="eastAsia" w:ascii="宋体" w:hAnsi="宋体"/>
          <w:sz w:val="24"/>
          <w:szCs w:val="24"/>
          <w:highlight w:val="none"/>
        </w:rPr>
        <w:t>7</w:t>
      </w:r>
      <w:r>
        <w:rPr>
          <w:rStyle w:val="8"/>
          <w:rFonts w:hint="eastAsia" w:ascii="宋体" w:hAnsi="宋体"/>
          <w:sz w:val="24"/>
          <w:szCs w:val="24"/>
          <w:highlight w:val="none"/>
          <w:lang w:val="hr-HR"/>
        </w:rPr>
        <w:t>.采购需求：</w:t>
      </w:r>
      <w:r>
        <w:rPr>
          <w:rStyle w:val="8"/>
          <w:rFonts w:hint="eastAsia" w:ascii="宋体" w:hAnsi="宋体"/>
          <w:sz w:val="24"/>
          <w:szCs w:val="24"/>
          <w:highlight w:val="none"/>
          <w:lang w:val="hr-HR" w:eastAsia="zh-CN"/>
        </w:rPr>
        <w:t>武穴市妇幼保健院购置热层析成像技术设</w:t>
      </w:r>
      <w:r>
        <w:rPr>
          <w:rStyle w:val="8"/>
          <w:rFonts w:hint="eastAsia" w:ascii="宋体" w:hAnsi="宋体"/>
          <w:sz w:val="24"/>
          <w:szCs w:val="24"/>
          <w:highlight w:val="none"/>
          <w:lang w:val="en-US" w:eastAsia="zh-CN"/>
        </w:rPr>
        <w:t>，</w:t>
      </w:r>
      <w:r>
        <w:rPr>
          <w:rStyle w:val="8"/>
          <w:rFonts w:hint="eastAsia" w:ascii="宋体" w:hAnsi="宋体"/>
          <w:sz w:val="24"/>
          <w:szCs w:val="24"/>
          <w:highlight w:val="none"/>
          <w:lang w:val="hr-HR" w:eastAsia="zh-CN"/>
        </w:rPr>
        <w:t>此项目包含货物的供应、生产、采购、运输、检验、安装、售后服务及培训等全部相关工作），详见</w:t>
      </w:r>
      <w:r>
        <w:rPr>
          <w:rStyle w:val="8"/>
          <w:rFonts w:hint="eastAsia" w:ascii="宋体" w:hAnsi="宋体"/>
          <w:sz w:val="24"/>
          <w:szCs w:val="24"/>
          <w:highlight w:val="none"/>
          <w:lang w:val="en-US" w:eastAsia="zh-CN"/>
        </w:rPr>
        <w:t>招标</w:t>
      </w:r>
      <w:r>
        <w:rPr>
          <w:rStyle w:val="8"/>
          <w:rFonts w:hint="eastAsia" w:ascii="宋体" w:hAnsi="宋体"/>
          <w:sz w:val="24"/>
          <w:szCs w:val="24"/>
          <w:highlight w:val="none"/>
          <w:lang w:val="hr-HR" w:eastAsia="zh-CN"/>
        </w:rPr>
        <w:t>文件第三章。</w:t>
      </w:r>
    </w:p>
    <w:p w14:paraId="7FBAF7C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r>
        <w:rPr>
          <w:rStyle w:val="8"/>
          <w:rFonts w:hint="eastAsia" w:ascii="宋体" w:hAnsi="宋体"/>
          <w:sz w:val="24"/>
          <w:szCs w:val="24"/>
          <w:highlight w:val="none"/>
        </w:rPr>
        <w:t>8.合同履行期限：签订合同之日起7日历天完成。</w:t>
      </w:r>
      <w:r>
        <w:rPr>
          <w:rStyle w:val="8"/>
          <w:rFonts w:hint="eastAsia" w:ascii="宋体" w:hAnsi="宋体"/>
          <w:sz w:val="24"/>
          <w:szCs w:val="24"/>
          <w:highlight w:val="none"/>
          <w:lang w:val="hr-HR"/>
        </w:rPr>
        <w:t xml:space="preserve"> </w:t>
      </w:r>
    </w:p>
    <w:p w14:paraId="25E6CC5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bookmarkStart w:id="1" w:name="_Toc35393630"/>
      <w:bookmarkStart w:id="2" w:name="_Toc44583629"/>
      <w:bookmarkStart w:id="3" w:name="_Toc35393799"/>
      <w:bookmarkStart w:id="4" w:name="_Toc28359090"/>
      <w:bookmarkStart w:id="5" w:name="_Toc28359013"/>
      <w:r>
        <w:rPr>
          <w:rStyle w:val="8"/>
          <w:rFonts w:hint="eastAsia" w:ascii="宋体" w:hAnsi="宋体"/>
          <w:sz w:val="24"/>
          <w:szCs w:val="24"/>
          <w:highlight w:val="none"/>
        </w:rPr>
        <w:t>9.</w:t>
      </w:r>
      <w:bookmarkStart w:id="6" w:name="_Hlk162011358"/>
      <w:r>
        <w:rPr>
          <w:rStyle w:val="8"/>
          <w:rFonts w:hint="eastAsia" w:ascii="宋体" w:hAnsi="宋体"/>
          <w:sz w:val="24"/>
          <w:szCs w:val="24"/>
          <w:highlight w:val="none"/>
        </w:rPr>
        <w:t>接受联合体投标：否</w:t>
      </w:r>
      <w:bookmarkEnd w:id="6"/>
    </w:p>
    <w:p w14:paraId="68337BA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bookmarkStart w:id="7" w:name="_Toc140132746"/>
      <w:bookmarkStart w:id="8" w:name="_Toc155185861"/>
      <w:bookmarkStart w:id="9" w:name="_Toc109899830"/>
      <w:bookmarkStart w:id="10" w:name="_Toc109899411"/>
      <w:bookmarkStart w:id="11" w:name="_Toc7573"/>
      <w:bookmarkStart w:id="12" w:name="_Toc109900249"/>
      <w:r>
        <w:rPr>
          <w:rStyle w:val="8"/>
          <w:rFonts w:hint="eastAsia" w:ascii="宋体" w:hAnsi="宋体"/>
          <w:sz w:val="24"/>
          <w:szCs w:val="24"/>
          <w:highlight w:val="none"/>
        </w:rPr>
        <w:t>投标人</w:t>
      </w:r>
      <w:r>
        <w:rPr>
          <w:rStyle w:val="8"/>
          <w:rFonts w:hint="eastAsia" w:ascii="宋体" w:hAnsi="宋体"/>
          <w:sz w:val="24"/>
          <w:szCs w:val="24"/>
          <w:highlight w:val="none"/>
          <w:lang w:val="hr-HR"/>
        </w:rPr>
        <w:t>资格要求</w:t>
      </w:r>
      <w:bookmarkEnd w:id="1"/>
      <w:bookmarkEnd w:id="2"/>
      <w:bookmarkEnd w:id="3"/>
      <w:bookmarkEnd w:id="4"/>
      <w:bookmarkEnd w:id="5"/>
      <w:bookmarkEnd w:id="7"/>
      <w:bookmarkEnd w:id="8"/>
      <w:bookmarkEnd w:id="9"/>
      <w:bookmarkEnd w:id="10"/>
      <w:bookmarkEnd w:id="11"/>
      <w:bookmarkEnd w:id="12"/>
    </w:p>
    <w:p w14:paraId="530B42A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r>
        <w:rPr>
          <w:rStyle w:val="8"/>
          <w:rFonts w:hint="eastAsia" w:ascii="宋体" w:hAnsi="宋体"/>
          <w:sz w:val="24"/>
          <w:szCs w:val="24"/>
          <w:highlight w:val="none"/>
        </w:rPr>
        <w:t>1.满足《中华人民共和国政府采购法》第二十二条规定，即：</w:t>
      </w:r>
    </w:p>
    <w:p w14:paraId="2C4E405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r>
        <w:rPr>
          <w:rStyle w:val="8"/>
          <w:rFonts w:hint="eastAsia" w:ascii="宋体" w:hAnsi="宋体"/>
          <w:sz w:val="24"/>
          <w:szCs w:val="24"/>
          <w:highlight w:val="none"/>
        </w:rPr>
        <w:t>具有独立承担民事责任的能力；</w:t>
      </w:r>
    </w:p>
    <w:p w14:paraId="30D6FF4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r>
        <w:rPr>
          <w:rStyle w:val="8"/>
          <w:rFonts w:hint="eastAsia" w:ascii="宋体" w:hAnsi="宋体"/>
          <w:sz w:val="24"/>
          <w:szCs w:val="24"/>
          <w:highlight w:val="none"/>
        </w:rPr>
        <w:t>具有良好的商业信誉和健全的财务会计制度；</w:t>
      </w:r>
    </w:p>
    <w:p w14:paraId="3EEDD5D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r>
        <w:rPr>
          <w:rStyle w:val="8"/>
          <w:rFonts w:hint="eastAsia" w:ascii="宋体" w:hAnsi="宋体"/>
          <w:sz w:val="24"/>
          <w:szCs w:val="24"/>
          <w:highlight w:val="none"/>
        </w:rPr>
        <w:t>具有履行合同所必需的设备和专业技术能力；</w:t>
      </w:r>
    </w:p>
    <w:p w14:paraId="2000A63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r>
        <w:rPr>
          <w:rStyle w:val="8"/>
          <w:rFonts w:hint="eastAsia" w:ascii="宋体" w:hAnsi="宋体"/>
          <w:sz w:val="24"/>
          <w:szCs w:val="24"/>
          <w:highlight w:val="none"/>
        </w:rPr>
        <w:t>有依法缴纳税收和社会保障资金的良好记录；</w:t>
      </w:r>
    </w:p>
    <w:p w14:paraId="070EA84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r>
        <w:rPr>
          <w:rStyle w:val="8"/>
          <w:rFonts w:hint="eastAsia" w:ascii="宋体" w:hAnsi="宋体"/>
          <w:sz w:val="24"/>
          <w:szCs w:val="24"/>
          <w:highlight w:val="none"/>
        </w:rPr>
        <w:t>参加政府采购活动前三年内，在经营活动中没有重大违法记录；</w:t>
      </w:r>
    </w:p>
    <w:p w14:paraId="4ADA4F3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r>
        <w:rPr>
          <w:rStyle w:val="8"/>
          <w:rFonts w:hint="eastAsia" w:ascii="宋体" w:hAnsi="宋体"/>
          <w:sz w:val="24"/>
          <w:szCs w:val="24"/>
          <w:highlight w:val="none"/>
        </w:rPr>
        <w:t>法律、行政法规规定的其他条件。</w:t>
      </w:r>
    </w:p>
    <w:p w14:paraId="4668C77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r>
        <w:rPr>
          <w:rStyle w:val="8"/>
          <w:rFonts w:hint="eastAsia" w:ascii="宋体" w:hAnsi="宋体"/>
          <w:sz w:val="24"/>
          <w:szCs w:val="24"/>
          <w:highlight w:val="none"/>
        </w:rPr>
        <w:t>2.未被列入失信被执行人、“重大税收违法失信主体”，未被列入政府采购严重违法失信行为记录名单。</w:t>
      </w:r>
    </w:p>
    <w:p w14:paraId="396F7C2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r>
        <w:rPr>
          <w:rStyle w:val="8"/>
          <w:rFonts w:hint="eastAsia" w:ascii="宋体" w:hAnsi="宋体"/>
          <w:sz w:val="24"/>
          <w:szCs w:val="24"/>
          <w:highlight w:val="none"/>
        </w:rPr>
        <w:t>3、为本采购项目提供整体设计、规范编制或者项目管理、监理、检测等服务的，不得再参加本项目的其他招标采购活动。</w:t>
      </w:r>
    </w:p>
    <w:p w14:paraId="1EF07A5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r>
        <w:rPr>
          <w:rStyle w:val="8"/>
          <w:rFonts w:hint="eastAsia" w:ascii="宋体" w:hAnsi="宋体"/>
          <w:sz w:val="24"/>
          <w:szCs w:val="24"/>
          <w:highlight w:val="none"/>
        </w:rPr>
        <w:t>4、未被列入失信被执行人、重大税收违法失信主体，未被列入政府采购严重违法失信行为记录名单。</w:t>
      </w:r>
    </w:p>
    <w:p w14:paraId="01443AF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r>
        <w:rPr>
          <w:rStyle w:val="8"/>
          <w:rFonts w:hint="eastAsia" w:ascii="宋体" w:hAnsi="宋体"/>
          <w:sz w:val="24"/>
          <w:szCs w:val="24"/>
          <w:highlight w:val="none"/>
        </w:rPr>
        <w:t>5、落实政府采购政策需满足的资格要求：</w:t>
      </w:r>
    </w:p>
    <w:p w14:paraId="6547226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r>
        <w:rPr>
          <w:rStyle w:val="8"/>
          <w:rFonts w:hint="eastAsia" w:ascii="宋体" w:hAnsi="宋体"/>
          <w:sz w:val="24"/>
          <w:szCs w:val="24"/>
          <w:highlight w:val="none"/>
        </w:rPr>
        <w:t>（1）政府采购促进中小企业发展政策；</w:t>
      </w:r>
      <w:r>
        <w:rPr>
          <w:rStyle w:val="8"/>
          <w:rFonts w:hint="eastAsia" w:ascii="宋体" w:hAnsi="宋体"/>
          <w:sz w:val="24"/>
          <w:szCs w:val="24"/>
          <w:highlight w:val="none"/>
        </w:rPr>
        <w:br w:type="textWrapping"/>
      </w:r>
      <w:r>
        <w:rPr>
          <w:rStyle w:val="8"/>
          <w:rFonts w:hint="eastAsia" w:ascii="宋体" w:hAnsi="宋体"/>
          <w:sz w:val="24"/>
          <w:szCs w:val="24"/>
          <w:highlight w:val="none"/>
        </w:rPr>
        <w:t>（2）政府采购强制、优先采购节能产品政策；</w:t>
      </w:r>
      <w:r>
        <w:rPr>
          <w:rStyle w:val="8"/>
          <w:rFonts w:hint="eastAsia" w:ascii="宋体" w:hAnsi="宋体"/>
          <w:sz w:val="24"/>
          <w:szCs w:val="24"/>
          <w:highlight w:val="none"/>
        </w:rPr>
        <w:br w:type="textWrapping"/>
      </w:r>
      <w:r>
        <w:rPr>
          <w:rStyle w:val="8"/>
          <w:rFonts w:hint="eastAsia" w:ascii="宋体" w:hAnsi="宋体"/>
          <w:sz w:val="24"/>
          <w:szCs w:val="24"/>
          <w:highlight w:val="none"/>
        </w:rPr>
        <w:t>（3）政府采购优先采购环保产品政策；</w:t>
      </w:r>
      <w:r>
        <w:rPr>
          <w:rStyle w:val="8"/>
          <w:rFonts w:hint="eastAsia" w:ascii="宋体" w:hAnsi="宋体"/>
          <w:sz w:val="24"/>
          <w:szCs w:val="24"/>
          <w:highlight w:val="none"/>
        </w:rPr>
        <w:br w:type="textWrapping"/>
      </w:r>
      <w:r>
        <w:rPr>
          <w:rStyle w:val="8"/>
          <w:rFonts w:hint="eastAsia" w:ascii="宋体" w:hAnsi="宋体"/>
          <w:sz w:val="24"/>
          <w:szCs w:val="24"/>
          <w:highlight w:val="none"/>
        </w:rPr>
        <w:t>（4）政府采购支持监狱企业发展政策；</w:t>
      </w:r>
      <w:r>
        <w:rPr>
          <w:rStyle w:val="8"/>
          <w:rFonts w:hint="eastAsia" w:ascii="宋体" w:hAnsi="宋体"/>
          <w:sz w:val="24"/>
          <w:szCs w:val="24"/>
          <w:highlight w:val="none"/>
        </w:rPr>
        <w:br w:type="textWrapping"/>
      </w:r>
      <w:r>
        <w:rPr>
          <w:rStyle w:val="8"/>
          <w:rFonts w:hint="eastAsia" w:ascii="宋体" w:hAnsi="宋体"/>
          <w:sz w:val="24"/>
          <w:szCs w:val="24"/>
          <w:highlight w:val="none"/>
        </w:rPr>
        <w:t>（5）政府采购支持残疾人福利性单位。</w:t>
      </w:r>
    </w:p>
    <w:p w14:paraId="411FAA1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r>
        <w:rPr>
          <w:rStyle w:val="8"/>
          <w:rFonts w:hint="eastAsia" w:ascii="宋体" w:hAnsi="宋体"/>
          <w:sz w:val="24"/>
          <w:szCs w:val="24"/>
          <w:highlight w:val="none"/>
        </w:rPr>
        <w:t>6、特定资格要求：</w:t>
      </w:r>
    </w:p>
    <w:p w14:paraId="451D714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r>
        <w:rPr>
          <w:rStyle w:val="8"/>
          <w:rFonts w:hint="eastAsia" w:ascii="宋体" w:hAnsi="宋体"/>
          <w:sz w:val="24"/>
          <w:szCs w:val="24"/>
          <w:highlight w:val="none"/>
        </w:rPr>
        <w:t>（</w:t>
      </w:r>
      <w:r>
        <w:rPr>
          <w:rStyle w:val="8"/>
          <w:rFonts w:hint="eastAsia" w:ascii="宋体" w:hAnsi="宋体"/>
          <w:sz w:val="24"/>
          <w:szCs w:val="24"/>
          <w:highlight w:val="none"/>
          <w:lang w:val="en-US"/>
        </w:rPr>
        <w:t>1</w:t>
      </w:r>
      <w:r>
        <w:rPr>
          <w:rStyle w:val="8"/>
          <w:rFonts w:hint="eastAsia" w:ascii="宋体" w:hAnsi="宋体"/>
          <w:sz w:val="24"/>
          <w:szCs w:val="24"/>
          <w:highlight w:val="none"/>
        </w:rPr>
        <w:t>）有效营业执照（含企业法人、事业法人、个体工商户等合法经营证明文件）；</w:t>
      </w:r>
    </w:p>
    <w:p w14:paraId="18F897F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lang w:eastAsia="zh-CN"/>
        </w:rPr>
      </w:pPr>
      <w:r>
        <w:rPr>
          <w:rStyle w:val="8"/>
          <w:rFonts w:hint="eastAsia" w:ascii="宋体" w:hAnsi="宋体"/>
          <w:sz w:val="24"/>
          <w:szCs w:val="24"/>
          <w:highlight w:val="none"/>
        </w:rPr>
        <w:t>（</w:t>
      </w:r>
      <w:r>
        <w:rPr>
          <w:rStyle w:val="8"/>
          <w:rFonts w:hint="eastAsia" w:ascii="宋体" w:hAnsi="宋体"/>
          <w:sz w:val="24"/>
          <w:szCs w:val="24"/>
          <w:highlight w:val="none"/>
          <w:lang w:val="en-US"/>
        </w:rPr>
        <w:t>2</w:t>
      </w:r>
      <w:r>
        <w:rPr>
          <w:rStyle w:val="8"/>
          <w:rFonts w:hint="eastAsia" w:ascii="宋体" w:hAnsi="宋体"/>
          <w:sz w:val="24"/>
          <w:szCs w:val="24"/>
          <w:highlight w:val="none"/>
        </w:rPr>
        <w:t>）供应商所投产品属于三类医疗器械的，投标供应商须具备《医疗器械生产许可证》或《医疗器械经营许可证》，供应商所投产品属于二类及以上医疗器械的，所投产品须具备《医疗器械注册证》，国家另有规定的从其规定</w:t>
      </w:r>
      <w:r>
        <w:rPr>
          <w:rStyle w:val="8"/>
          <w:rFonts w:hint="eastAsia" w:ascii="宋体" w:hAnsi="宋体"/>
          <w:sz w:val="24"/>
          <w:szCs w:val="24"/>
          <w:highlight w:val="none"/>
          <w:lang w:eastAsia="zh-CN"/>
        </w:rPr>
        <w:t>。</w:t>
      </w:r>
    </w:p>
    <w:p w14:paraId="47EA9E62">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Style w:val="8"/>
          <w:rFonts w:hint="eastAsia" w:ascii="宋体" w:hAnsi="宋体"/>
          <w:sz w:val="24"/>
          <w:szCs w:val="24"/>
          <w:highlight w:val="none"/>
        </w:rPr>
      </w:pPr>
      <w:r>
        <w:rPr>
          <w:rStyle w:val="8"/>
          <w:rFonts w:hint="eastAsia" w:ascii="宋体" w:hAnsi="宋体"/>
          <w:b/>
          <w:bCs/>
          <w:sz w:val="24"/>
          <w:szCs w:val="24"/>
          <w:highlight w:val="none"/>
        </w:rPr>
        <w:t>以上资格要求为本次招标投标人应具备的基本条件，参加投标的投标人必须满足资格要求中对应的所有条款，并按照相关规定递交资格证明文件。</w:t>
      </w:r>
    </w:p>
    <w:p w14:paraId="42D20C8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p>
    <w:p w14:paraId="58EADA0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8"/>
          <w:rFonts w:hint="eastAsia" w:ascii="宋体" w:hAnsi="宋体"/>
          <w:sz w:val="24"/>
          <w:szCs w:val="24"/>
          <w:highlight w:val="none"/>
        </w:rPr>
      </w:pPr>
    </w:p>
    <w:p w14:paraId="6EE0915C">
      <w:pPr>
        <w:rPr>
          <w:rStyle w:val="8"/>
          <w:rFonts w:hint="eastAsia" w:ascii="宋体" w:hAnsi="宋体"/>
          <w:sz w:val="24"/>
          <w:szCs w:val="24"/>
          <w:highlight w:val="none"/>
        </w:rPr>
      </w:pPr>
      <w:r>
        <w:rPr>
          <w:rStyle w:val="8"/>
          <w:rFonts w:hint="eastAsia" w:ascii="宋体" w:hAnsi="宋体"/>
          <w:sz w:val="24"/>
          <w:szCs w:val="24"/>
          <w:highlight w:val="none"/>
        </w:rPr>
        <w:br w:type="page"/>
      </w:r>
    </w:p>
    <w:p w14:paraId="4EE3C762">
      <w:pPr>
        <w:pStyle w:val="2"/>
        <w:spacing w:before="0" w:after="0" w:line="360" w:lineRule="auto"/>
        <w:ind w:left="24" w:right="24" w:firstLine="640"/>
        <w:jc w:val="center"/>
        <w:rPr>
          <w:rFonts w:hint="default" w:ascii="黑体" w:hAnsi="黑体" w:eastAsia="黑体" w:cs="黑体"/>
          <w:b w:val="0"/>
          <w:bCs/>
          <w:sz w:val="32"/>
          <w:szCs w:val="32"/>
          <w:highlight w:val="none"/>
        </w:rPr>
      </w:pPr>
      <w:bookmarkStart w:id="13" w:name="_Toc3910"/>
      <w:r>
        <w:rPr>
          <w:rFonts w:ascii="黑体" w:hAnsi="黑体" w:eastAsia="黑体" w:cs="黑体"/>
          <w:b w:val="0"/>
          <w:bCs/>
          <w:sz w:val="32"/>
          <w:szCs w:val="32"/>
          <w:highlight w:val="none"/>
        </w:rPr>
        <w:t>第三章 项目采购需求</w:t>
      </w:r>
      <w:bookmarkEnd w:id="13"/>
      <w:bookmarkStart w:id="14" w:name="_Toc535832547"/>
      <w:bookmarkStart w:id="15" w:name="_Toc162164501"/>
    </w:p>
    <w:bookmarkEnd w:id="14"/>
    <w:bookmarkEnd w:id="15"/>
    <w:p w14:paraId="5AC2A650">
      <w:pPr>
        <w:numPr>
          <w:ilvl w:val="0"/>
          <w:numId w:val="0"/>
        </w:numPr>
        <w:ind w:leftChars="0"/>
        <w:jc w:val="left"/>
        <w:rPr>
          <w:rFonts w:hint="eastAsia" w:ascii="宋体" w:hAnsi="宋体" w:cs="宋体"/>
          <w:sz w:val="24"/>
          <w:szCs w:val="24"/>
          <w:lang w:val="en-US" w:eastAsia="zh-CN"/>
        </w:rPr>
      </w:pPr>
    </w:p>
    <w:p w14:paraId="08A1B79A">
      <w:pPr>
        <w:numPr>
          <w:ilvl w:val="0"/>
          <w:numId w:val="2"/>
        </w:numPr>
        <w:jc w:val="left"/>
        <w:rPr>
          <w:rFonts w:hint="eastAsia" w:eastAsia="宋体" w:asciiTheme="majorHAnsi" w:hAnsiTheme="majorHAnsi" w:cstheme="majorBidi"/>
          <w:b/>
          <w:bCs/>
          <w:kern w:val="2"/>
          <w:sz w:val="32"/>
          <w:szCs w:val="32"/>
          <w:lang w:val="en-US" w:eastAsia="zh-CN" w:bidi="ar-SA"/>
        </w:rPr>
      </w:pPr>
      <w:r>
        <w:rPr>
          <w:rFonts w:hint="eastAsia" w:eastAsia="宋体" w:asciiTheme="majorHAnsi" w:hAnsiTheme="majorHAnsi" w:cstheme="majorBidi"/>
          <w:b/>
          <w:bCs/>
          <w:kern w:val="2"/>
          <w:sz w:val="32"/>
          <w:szCs w:val="32"/>
          <w:lang w:val="en-US" w:eastAsia="zh-CN" w:bidi="ar-SA"/>
        </w:rPr>
        <w:t>采购清单</w:t>
      </w:r>
    </w:p>
    <w:tbl>
      <w:tblPr>
        <w:tblStyle w:val="6"/>
        <w:tblW w:w="8340" w:type="dxa"/>
        <w:tblInd w:w="-28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9"/>
        <w:gridCol w:w="2600"/>
        <w:gridCol w:w="810"/>
        <w:gridCol w:w="1033"/>
        <w:gridCol w:w="1340"/>
        <w:gridCol w:w="1798"/>
      </w:tblGrid>
      <w:tr w14:paraId="63613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0" w:hRule="atLeast"/>
        </w:trPr>
        <w:tc>
          <w:tcPr>
            <w:tcW w:w="759" w:type="dxa"/>
            <w:noWrap w:val="0"/>
            <w:vAlign w:val="top"/>
          </w:tcPr>
          <w:p w14:paraId="46A0FEFB">
            <w:pPr>
              <w:numPr>
                <w:ilvl w:val="0"/>
                <w:numId w:val="0"/>
              </w:numPr>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序号</w:t>
            </w:r>
          </w:p>
        </w:tc>
        <w:tc>
          <w:tcPr>
            <w:tcW w:w="2600" w:type="dxa"/>
            <w:noWrap w:val="0"/>
            <w:vAlign w:val="top"/>
          </w:tcPr>
          <w:p w14:paraId="5BFC60BB">
            <w:pPr>
              <w:numPr>
                <w:ilvl w:val="0"/>
                <w:numId w:val="0"/>
              </w:numPr>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产品名称</w:t>
            </w:r>
          </w:p>
        </w:tc>
        <w:tc>
          <w:tcPr>
            <w:tcW w:w="810" w:type="dxa"/>
            <w:noWrap w:val="0"/>
            <w:vAlign w:val="top"/>
          </w:tcPr>
          <w:p w14:paraId="3C4DCE21">
            <w:pPr>
              <w:numPr>
                <w:ilvl w:val="0"/>
                <w:numId w:val="0"/>
              </w:numPr>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数量</w:t>
            </w:r>
          </w:p>
        </w:tc>
        <w:tc>
          <w:tcPr>
            <w:tcW w:w="1033" w:type="dxa"/>
            <w:noWrap w:val="0"/>
            <w:vAlign w:val="top"/>
          </w:tcPr>
          <w:p w14:paraId="069A4B23">
            <w:pPr>
              <w:numPr>
                <w:ilvl w:val="0"/>
                <w:numId w:val="0"/>
              </w:numPr>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单位</w:t>
            </w:r>
          </w:p>
        </w:tc>
        <w:tc>
          <w:tcPr>
            <w:tcW w:w="1340" w:type="dxa"/>
            <w:noWrap w:val="0"/>
            <w:vAlign w:val="top"/>
          </w:tcPr>
          <w:p w14:paraId="3A455350">
            <w:pPr>
              <w:numPr>
                <w:ilvl w:val="0"/>
                <w:numId w:val="0"/>
              </w:numPr>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所属行业</w:t>
            </w:r>
          </w:p>
        </w:tc>
        <w:tc>
          <w:tcPr>
            <w:tcW w:w="1798" w:type="dxa"/>
            <w:noWrap w:val="0"/>
            <w:vAlign w:val="top"/>
          </w:tcPr>
          <w:p w14:paraId="61AED1DC">
            <w:pPr>
              <w:numPr>
                <w:ilvl w:val="0"/>
                <w:numId w:val="0"/>
              </w:numPr>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要求/备注</w:t>
            </w:r>
          </w:p>
        </w:tc>
      </w:tr>
      <w:tr w14:paraId="7817D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759" w:type="dxa"/>
            <w:noWrap w:val="0"/>
            <w:vAlign w:val="top"/>
          </w:tcPr>
          <w:p w14:paraId="62F2237B">
            <w:pPr>
              <w:numPr>
                <w:ilvl w:val="0"/>
                <w:numId w:val="0"/>
              </w:numPr>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1</w:t>
            </w:r>
          </w:p>
        </w:tc>
        <w:tc>
          <w:tcPr>
            <w:tcW w:w="2600" w:type="dxa"/>
            <w:noWrap w:val="0"/>
            <w:vAlign w:val="top"/>
          </w:tcPr>
          <w:p w14:paraId="62254924">
            <w:pPr>
              <w:numPr>
                <w:ilvl w:val="0"/>
                <w:numId w:val="0"/>
              </w:numPr>
              <w:jc w:val="center"/>
              <w:rPr>
                <w:rFonts w:hint="default" w:ascii="宋体" w:hAnsi="宋体" w:cs="宋体"/>
                <w:sz w:val="24"/>
                <w:szCs w:val="24"/>
                <w:highlight w:val="none"/>
                <w:vertAlign w:val="baseline"/>
                <w:lang w:val="en-US" w:eastAsia="zh-CN"/>
              </w:rPr>
            </w:pPr>
            <w:r>
              <w:rPr>
                <w:rFonts w:hint="default" w:ascii="宋体" w:hAnsi="宋体" w:cs="宋体"/>
                <w:sz w:val="24"/>
                <w:szCs w:val="24"/>
                <w:highlight w:val="none"/>
                <w:vertAlign w:val="baseline"/>
                <w:lang w:val="en-US" w:eastAsia="zh-CN"/>
              </w:rPr>
              <w:t>热层析成像技术</w:t>
            </w:r>
          </w:p>
        </w:tc>
        <w:tc>
          <w:tcPr>
            <w:tcW w:w="810" w:type="dxa"/>
            <w:noWrap w:val="0"/>
            <w:vAlign w:val="top"/>
          </w:tcPr>
          <w:p w14:paraId="78334AB1">
            <w:pPr>
              <w:numPr>
                <w:ilvl w:val="0"/>
                <w:numId w:val="0"/>
              </w:numPr>
              <w:jc w:val="center"/>
              <w:rPr>
                <w:rFonts w:hint="default" w:ascii="宋体" w:hAnsi="宋体" w:cs="宋体"/>
                <w:sz w:val="24"/>
                <w:szCs w:val="24"/>
                <w:highlight w:val="none"/>
                <w:vertAlign w:val="baseline"/>
                <w:lang w:val="en-US" w:eastAsia="zh-CN"/>
              </w:rPr>
            </w:pPr>
            <w:r>
              <w:rPr>
                <w:rFonts w:hint="eastAsia" w:cs="宋体"/>
                <w:sz w:val="24"/>
                <w:szCs w:val="24"/>
                <w:highlight w:val="none"/>
                <w:vertAlign w:val="baseline"/>
                <w:lang w:val="en-US" w:eastAsia="zh-CN"/>
              </w:rPr>
              <w:t>1</w:t>
            </w:r>
          </w:p>
        </w:tc>
        <w:tc>
          <w:tcPr>
            <w:tcW w:w="1033" w:type="dxa"/>
            <w:noWrap w:val="0"/>
            <w:vAlign w:val="top"/>
          </w:tcPr>
          <w:p w14:paraId="2E7A1287">
            <w:pPr>
              <w:numPr>
                <w:ilvl w:val="0"/>
                <w:numId w:val="0"/>
              </w:numPr>
              <w:jc w:val="center"/>
              <w:rPr>
                <w:rFonts w:hint="default" w:ascii="宋体" w:hAnsi="宋体" w:cs="宋体"/>
                <w:sz w:val="24"/>
                <w:szCs w:val="24"/>
                <w:highlight w:val="none"/>
                <w:vertAlign w:val="baseline"/>
                <w:lang w:val="en-US" w:eastAsia="zh-CN"/>
              </w:rPr>
            </w:pPr>
            <w:r>
              <w:rPr>
                <w:rFonts w:hint="eastAsia" w:cs="宋体"/>
                <w:sz w:val="24"/>
                <w:szCs w:val="24"/>
                <w:highlight w:val="none"/>
                <w:vertAlign w:val="baseline"/>
                <w:lang w:val="en-US" w:eastAsia="zh-CN"/>
              </w:rPr>
              <w:t>套</w:t>
            </w:r>
          </w:p>
        </w:tc>
        <w:tc>
          <w:tcPr>
            <w:tcW w:w="1340" w:type="dxa"/>
            <w:noWrap w:val="0"/>
            <w:vAlign w:val="top"/>
          </w:tcPr>
          <w:p w14:paraId="5EA27FA3">
            <w:pPr>
              <w:numPr>
                <w:ilvl w:val="0"/>
                <w:numId w:val="0"/>
              </w:numPr>
              <w:jc w:val="center"/>
              <w:rPr>
                <w:rFonts w:hint="default" w:ascii="宋体" w:hAnsi="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工业</w:t>
            </w:r>
          </w:p>
        </w:tc>
        <w:tc>
          <w:tcPr>
            <w:tcW w:w="1798" w:type="dxa"/>
            <w:noWrap w:val="0"/>
            <w:vAlign w:val="top"/>
          </w:tcPr>
          <w:p w14:paraId="4683C8B1">
            <w:pPr>
              <w:numPr>
                <w:ilvl w:val="0"/>
                <w:numId w:val="0"/>
              </w:numPr>
              <w:jc w:val="center"/>
              <w:rPr>
                <w:rFonts w:hint="default" w:ascii="宋体" w:hAnsi="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w:t>
            </w:r>
          </w:p>
        </w:tc>
      </w:tr>
    </w:tbl>
    <w:p w14:paraId="40094D82">
      <w:pPr>
        <w:numPr>
          <w:ilvl w:val="0"/>
          <w:numId w:val="2"/>
        </w:numPr>
        <w:jc w:val="left"/>
        <w:rPr>
          <w:rFonts w:hint="eastAsia" w:eastAsia="宋体" w:asciiTheme="majorHAnsi" w:hAnsiTheme="majorHAnsi" w:cstheme="majorBidi"/>
          <w:b/>
          <w:bCs/>
          <w:kern w:val="2"/>
          <w:sz w:val="32"/>
          <w:szCs w:val="32"/>
          <w:lang w:val="en-US" w:eastAsia="zh-CN" w:bidi="ar-SA"/>
        </w:rPr>
      </w:pPr>
      <w:r>
        <w:rPr>
          <w:rFonts w:hint="eastAsia" w:eastAsia="宋体" w:asciiTheme="majorHAnsi" w:hAnsiTheme="majorHAnsi" w:cstheme="majorBidi"/>
          <w:b/>
          <w:bCs/>
          <w:kern w:val="2"/>
          <w:sz w:val="32"/>
          <w:szCs w:val="32"/>
          <w:lang w:val="en-US" w:eastAsia="zh-CN" w:bidi="ar-SA"/>
        </w:rPr>
        <w:t>技术要求</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2616C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2" w:type="dxa"/>
          </w:tcPr>
          <w:p w14:paraId="1AD97960">
            <w:pPr>
              <w:spacing w:line="360" w:lineRule="auto"/>
              <w:rPr>
                <w:rFonts w:hint="eastAsia"/>
                <w:sz w:val="24"/>
                <w:szCs w:val="24"/>
              </w:rPr>
            </w:pPr>
            <w:r>
              <w:rPr>
                <w:rFonts w:hint="eastAsia"/>
                <w:sz w:val="24"/>
                <w:szCs w:val="24"/>
              </w:rPr>
              <w:t>1. 产品外观​</w:t>
            </w:r>
          </w:p>
          <w:p w14:paraId="05453EA5">
            <w:pPr>
              <w:spacing w:line="360" w:lineRule="auto"/>
              <w:rPr>
                <w:rFonts w:hint="eastAsia"/>
                <w:sz w:val="24"/>
                <w:szCs w:val="24"/>
              </w:rPr>
            </w:pPr>
            <w:r>
              <w:rPr>
                <w:rFonts w:hint="eastAsia"/>
                <w:sz w:val="24"/>
                <w:szCs w:val="24"/>
              </w:rPr>
              <w:t>1.1 便携式设计：设备整体便于移动和现场部署，满足医疗机构多场景使用需求。</w:t>
            </w:r>
          </w:p>
          <w:p w14:paraId="29E4F939">
            <w:pPr>
              <w:spacing w:line="360" w:lineRule="auto"/>
              <w:rPr>
                <w:rFonts w:hint="eastAsia"/>
                <w:sz w:val="24"/>
                <w:szCs w:val="24"/>
              </w:rPr>
            </w:pPr>
            <w:r>
              <w:rPr>
                <w:rFonts w:hint="eastAsia"/>
                <w:sz w:val="24"/>
                <w:szCs w:val="24"/>
              </w:rPr>
              <w:t>1.2 计算机配置：屏幕尺寸≥14 英寸，操作系统支持 Windows 10 X64 及以上版本（含兼容版）</w:t>
            </w:r>
            <w:r>
              <w:rPr>
                <w:rFonts w:hint="eastAsia"/>
                <w:sz w:val="24"/>
                <w:szCs w:val="24"/>
                <w:lang w:eastAsia="zh-CN"/>
              </w:rPr>
              <w:t>。</w:t>
            </w:r>
            <w:r>
              <w:rPr>
                <w:rFonts w:hint="eastAsia"/>
                <w:sz w:val="24"/>
                <w:szCs w:val="24"/>
              </w:rPr>
              <w:t>​</w:t>
            </w:r>
          </w:p>
          <w:p w14:paraId="03D603F5">
            <w:pPr>
              <w:spacing w:line="360" w:lineRule="auto"/>
              <w:rPr>
                <w:rFonts w:hint="eastAsia"/>
                <w:sz w:val="24"/>
                <w:szCs w:val="24"/>
              </w:rPr>
            </w:pPr>
            <w:r>
              <w:rPr>
                <w:rFonts w:hint="eastAsia"/>
                <w:sz w:val="24"/>
                <w:szCs w:val="24"/>
              </w:rPr>
              <w:t>1.3 云台：云台水平转动总角度≥24°（允许±2°误差），垂直转动总角度≥24°（允许±2°误差），转动平稳无卡顿，满足检测角度调节需求。​</w:t>
            </w:r>
          </w:p>
          <w:p w14:paraId="7948A4DA">
            <w:pPr>
              <w:spacing w:line="360" w:lineRule="auto"/>
              <w:rPr>
                <w:rFonts w:hint="eastAsia"/>
                <w:sz w:val="24"/>
                <w:szCs w:val="24"/>
              </w:rPr>
            </w:pPr>
            <w:r>
              <w:rPr>
                <w:rFonts w:hint="eastAsia"/>
                <w:sz w:val="24"/>
                <w:szCs w:val="24"/>
              </w:rPr>
              <w:t>2. 探头参数​</w:t>
            </w:r>
          </w:p>
          <w:p w14:paraId="3442DE4E">
            <w:pPr>
              <w:spacing w:line="360" w:lineRule="auto"/>
              <w:rPr>
                <w:rFonts w:hint="eastAsia"/>
                <w:sz w:val="24"/>
                <w:szCs w:val="24"/>
              </w:rPr>
            </w:pPr>
            <w:r>
              <w:rPr>
                <w:rFonts w:hint="eastAsia"/>
                <w:sz w:val="24"/>
                <w:szCs w:val="24"/>
              </w:rPr>
              <w:t>2.1 探头类型：非制冷焦平面红外探测器（含等效性能的同类型探测器）。​</w:t>
            </w:r>
          </w:p>
          <w:p w14:paraId="42AAFE54">
            <w:pPr>
              <w:spacing w:line="360" w:lineRule="auto"/>
              <w:rPr>
                <w:rFonts w:hint="eastAsia"/>
                <w:sz w:val="24"/>
                <w:szCs w:val="24"/>
              </w:rPr>
            </w:pPr>
            <w:r>
              <w:rPr>
                <w:rFonts w:hint="eastAsia"/>
                <w:sz w:val="24"/>
                <w:szCs w:val="24"/>
              </w:rPr>
              <w:t>2.2 图像分辨率：≥640*512。​</w:t>
            </w:r>
          </w:p>
          <w:p w14:paraId="3AE2CDE3">
            <w:pPr>
              <w:spacing w:line="360" w:lineRule="auto"/>
              <w:rPr>
                <w:rFonts w:hint="eastAsia"/>
                <w:sz w:val="24"/>
                <w:szCs w:val="24"/>
              </w:rPr>
            </w:pPr>
            <w:r>
              <w:rPr>
                <w:rFonts w:hint="eastAsia"/>
                <w:sz w:val="24"/>
                <w:szCs w:val="24"/>
              </w:rPr>
              <w:t>2.3 光谱响应波长范围：8~14㎛（支持该区间内的标准响应范围）。​</w:t>
            </w:r>
          </w:p>
          <w:p w14:paraId="0D2DEFA3">
            <w:pPr>
              <w:spacing w:line="360" w:lineRule="auto"/>
              <w:rPr>
                <w:rFonts w:hint="eastAsia"/>
                <w:sz w:val="24"/>
                <w:szCs w:val="24"/>
              </w:rPr>
            </w:pPr>
            <w:r>
              <w:rPr>
                <w:rFonts w:hint="eastAsia"/>
                <w:sz w:val="24"/>
                <w:szCs w:val="24"/>
              </w:rPr>
              <w:t>2.4 工作距离：0.5m-2.5m，在此范围内可实现清晰成像。​</w:t>
            </w:r>
          </w:p>
          <w:p w14:paraId="61207FE5">
            <w:pPr>
              <w:spacing w:line="360" w:lineRule="auto"/>
              <w:rPr>
                <w:rFonts w:hint="eastAsia"/>
                <w:sz w:val="24"/>
                <w:szCs w:val="24"/>
              </w:rPr>
            </w:pPr>
            <w:r>
              <w:rPr>
                <w:rFonts w:hint="eastAsia"/>
                <w:sz w:val="24"/>
                <w:szCs w:val="24"/>
              </w:rPr>
              <w:t>2.5 温度分辨率（NETD）：≤0.08℃。​</w:t>
            </w:r>
          </w:p>
          <w:p w14:paraId="670F5998">
            <w:pPr>
              <w:spacing w:line="360" w:lineRule="auto"/>
              <w:rPr>
                <w:rFonts w:hint="eastAsia"/>
                <w:sz w:val="24"/>
                <w:szCs w:val="24"/>
              </w:rPr>
            </w:pPr>
            <w:r>
              <w:rPr>
                <w:rFonts w:hint="eastAsia"/>
                <w:sz w:val="24"/>
                <w:szCs w:val="24"/>
              </w:rPr>
              <w:t>2.6 测温范围：28℃-42℃，覆盖人体检测常用温度区间。​</w:t>
            </w:r>
          </w:p>
          <w:p w14:paraId="7E82051B">
            <w:pPr>
              <w:spacing w:line="360" w:lineRule="auto"/>
              <w:rPr>
                <w:rFonts w:hint="eastAsia"/>
                <w:sz w:val="24"/>
                <w:szCs w:val="24"/>
              </w:rPr>
            </w:pPr>
            <w:r>
              <w:rPr>
                <w:rFonts w:hint="eastAsia"/>
                <w:sz w:val="24"/>
                <w:szCs w:val="24"/>
              </w:rPr>
              <w:t>2.7 测温准确度 (δ)：≤0.4℃。​</w:t>
            </w:r>
          </w:p>
          <w:p w14:paraId="54013583">
            <w:pPr>
              <w:spacing w:line="360" w:lineRule="auto"/>
              <w:rPr>
                <w:rFonts w:hint="eastAsia"/>
                <w:sz w:val="24"/>
                <w:szCs w:val="24"/>
              </w:rPr>
            </w:pPr>
            <w:r>
              <w:rPr>
                <w:rFonts w:hint="eastAsia"/>
                <w:sz w:val="24"/>
                <w:szCs w:val="24"/>
              </w:rPr>
              <w:t>2.8 温度测量重复性 (σ)：≤0.2℃。​</w:t>
            </w:r>
          </w:p>
          <w:p w14:paraId="705AC3A9">
            <w:pPr>
              <w:spacing w:line="360" w:lineRule="auto"/>
              <w:rPr>
                <w:rFonts w:hint="eastAsia"/>
                <w:sz w:val="24"/>
                <w:szCs w:val="24"/>
              </w:rPr>
            </w:pPr>
            <w:r>
              <w:rPr>
                <w:rFonts w:hint="eastAsia"/>
                <w:sz w:val="24"/>
                <w:szCs w:val="24"/>
              </w:rPr>
              <w:t>2.9 调焦方式：支持电动或自动调焦，可通过设备面板、软件界面等方式操作，确保目标清晰成像。​</w:t>
            </w:r>
          </w:p>
          <w:p w14:paraId="76770E41">
            <w:pPr>
              <w:spacing w:line="360" w:lineRule="auto"/>
              <w:rPr>
                <w:rFonts w:hint="eastAsia"/>
                <w:sz w:val="24"/>
                <w:szCs w:val="24"/>
              </w:rPr>
            </w:pPr>
            <w:r>
              <w:rPr>
                <w:rFonts w:hint="eastAsia"/>
                <w:sz w:val="24"/>
                <w:szCs w:val="24"/>
              </w:rPr>
              <w:t>3. 系统功能​</w:t>
            </w:r>
          </w:p>
          <w:p w14:paraId="19417625">
            <w:pPr>
              <w:spacing w:line="360" w:lineRule="auto"/>
              <w:rPr>
                <w:rFonts w:hint="eastAsia"/>
                <w:sz w:val="24"/>
                <w:szCs w:val="24"/>
              </w:rPr>
            </w:pPr>
            <w:r>
              <w:rPr>
                <w:rFonts w:hint="eastAsia"/>
                <w:sz w:val="24"/>
                <w:szCs w:val="24"/>
              </w:rPr>
              <w:t>3.1 病历资料管理功能​</w:t>
            </w:r>
          </w:p>
          <w:p w14:paraId="3F9F5899">
            <w:pPr>
              <w:spacing w:line="360" w:lineRule="auto"/>
              <w:rPr>
                <w:rFonts w:hint="eastAsia"/>
                <w:sz w:val="24"/>
                <w:szCs w:val="24"/>
              </w:rPr>
            </w:pPr>
            <w:r>
              <w:rPr>
                <w:rFonts w:hint="eastAsia"/>
                <w:sz w:val="24"/>
                <w:szCs w:val="24"/>
              </w:rPr>
              <w:t>3.1.1 具备独立的病历资料管理模块，支持病人信息录入、查询、统计、修改等全流程管理，操作便捷。​</w:t>
            </w:r>
          </w:p>
          <w:p w14:paraId="236711B0">
            <w:pPr>
              <w:spacing w:line="360" w:lineRule="auto"/>
              <w:rPr>
                <w:rFonts w:hint="eastAsia"/>
                <w:sz w:val="24"/>
                <w:szCs w:val="24"/>
              </w:rPr>
            </w:pPr>
            <w:r>
              <w:rPr>
                <w:rFonts w:hint="eastAsia"/>
                <w:sz w:val="24"/>
                <w:szCs w:val="24"/>
              </w:rPr>
              <w:t>3.1.2 可保存病历数≥10000 例，支持数据库扩容或外接存储设备扩展。​</w:t>
            </w:r>
          </w:p>
          <w:p w14:paraId="1B7D0F00">
            <w:pPr>
              <w:spacing w:line="360" w:lineRule="auto"/>
              <w:rPr>
                <w:rFonts w:hint="eastAsia"/>
                <w:sz w:val="24"/>
                <w:szCs w:val="24"/>
              </w:rPr>
            </w:pPr>
            <w:r>
              <w:rPr>
                <w:rFonts w:hint="eastAsia"/>
                <w:sz w:val="24"/>
                <w:szCs w:val="24"/>
              </w:rPr>
              <w:t>3.2 图像采集​</w:t>
            </w:r>
          </w:p>
          <w:p w14:paraId="0391BBA1">
            <w:pPr>
              <w:spacing w:line="360" w:lineRule="auto"/>
              <w:rPr>
                <w:rFonts w:hint="eastAsia"/>
                <w:sz w:val="24"/>
                <w:szCs w:val="24"/>
              </w:rPr>
            </w:pPr>
            <w:r>
              <w:rPr>
                <w:rFonts w:hint="eastAsia"/>
                <w:sz w:val="24"/>
                <w:szCs w:val="24"/>
              </w:rPr>
              <w:t>3.2.1 探头管理：支持通过软件界面图标、快捷键等方式连接或断开探头，连接状态实时显示。​</w:t>
            </w:r>
          </w:p>
          <w:p w14:paraId="50F8B5AB">
            <w:pPr>
              <w:spacing w:line="360" w:lineRule="auto"/>
              <w:rPr>
                <w:rFonts w:hint="eastAsia"/>
                <w:sz w:val="24"/>
                <w:szCs w:val="24"/>
              </w:rPr>
            </w:pPr>
            <w:r>
              <w:rPr>
                <w:rFonts w:hint="eastAsia"/>
                <w:sz w:val="24"/>
                <w:szCs w:val="24"/>
              </w:rPr>
              <w:t>3.2.2 调焦功能：在 0.5m-2.5m 工作距离内，支持手动或自动焦距调整，确保目标成像清晰。​</w:t>
            </w:r>
          </w:p>
          <w:p w14:paraId="11B4EEEF">
            <w:pPr>
              <w:spacing w:line="360" w:lineRule="auto"/>
              <w:rPr>
                <w:rFonts w:hint="eastAsia"/>
                <w:sz w:val="24"/>
                <w:szCs w:val="24"/>
              </w:rPr>
            </w:pPr>
            <w:r>
              <w:rPr>
                <w:rFonts w:hint="eastAsia"/>
                <w:sz w:val="24"/>
                <w:szCs w:val="24"/>
              </w:rPr>
              <w:t>3.2.3 支持手动或自动温窗调节，可根据检测场景灵活设置。​</w:t>
            </w:r>
          </w:p>
          <w:p w14:paraId="54BB24BD">
            <w:pPr>
              <w:spacing w:line="360" w:lineRule="auto"/>
              <w:rPr>
                <w:rFonts w:hint="eastAsia"/>
                <w:sz w:val="24"/>
                <w:szCs w:val="24"/>
              </w:rPr>
            </w:pPr>
            <w:r>
              <w:rPr>
                <w:rFonts w:hint="eastAsia"/>
                <w:sz w:val="24"/>
                <w:szCs w:val="24"/>
              </w:rPr>
              <w:t>3.2.4 支持单帧采集或多帧图像采集，多帧采集最小间隔时间≤1 秒。​</w:t>
            </w:r>
          </w:p>
          <w:p w14:paraId="6E6D997F">
            <w:pPr>
              <w:spacing w:line="360" w:lineRule="auto"/>
              <w:rPr>
                <w:rFonts w:hint="eastAsia"/>
                <w:sz w:val="24"/>
                <w:szCs w:val="24"/>
              </w:rPr>
            </w:pPr>
            <w:r>
              <w:rPr>
                <w:rFonts w:hint="eastAsia"/>
                <w:sz w:val="24"/>
                <w:szCs w:val="24"/>
              </w:rPr>
              <w:t>3.2.5 角度取图：支持自动或手动对受检者进行多角度图像采集，角度覆盖满足临床检测需求。​</w:t>
            </w:r>
          </w:p>
          <w:p w14:paraId="1400C96B">
            <w:pPr>
              <w:spacing w:line="360" w:lineRule="auto"/>
              <w:rPr>
                <w:rFonts w:hint="eastAsia"/>
                <w:sz w:val="24"/>
                <w:szCs w:val="24"/>
              </w:rPr>
            </w:pPr>
            <w:r>
              <w:rPr>
                <w:rFonts w:hint="eastAsia"/>
                <w:sz w:val="24"/>
                <w:szCs w:val="24"/>
              </w:rPr>
              <w:t>3.3 形态学特征信息分析功能：支持血管显化、等温线分析和对比增强分析功能（含等效技术实现方式），可辅助临床观察。​</w:t>
            </w:r>
          </w:p>
          <w:p w14:paraId="49D98393">
            <w:pPr>
              <w:spacing w:line="360" w:lineRule="auto"/>
              <w:rPr>
                <w:rFonts w:hint="eastAsia"/>
                <w:sz w:val="24"/>
                <w:szCs w:val="24"/>
              </w:rPr>
            </w:pPr>
            <w:r>
              <w:rPr>
                <w:rFonts w:hint="eastAsia"/>
                <w:sz w:val="24"/>
                <w:szCs w:val="24"/>
              </w:rPr>
              <w:t>3.4 图像温度参数分析功能​</w:t>
            </w:r>
          </w:p>
          <w:p w14:paraId="60DEA61F">
            <w:pPr>
              <w:spacing w:line="360" w:lineRule="auto"/>
              <w:rPr>
                <w:rFonts w:hint="eastAsia"/>
                <w:sz w:val="24"/>
                <w:szCs w:val="24"/>
              </w:rPr>
            </w:pPr>
            <w:r>
              <w:rPr>
                <w:rFonts w:hint="eastAsia"/>
                <w:sz w:val="24"/>
                <w:szCs w:val="24"/>
              </w:rPr>
              <w:t>3.4.1 支持图像列表管理、图像标记及缩放处理，操作流畅。​</w:t>
            </w:r>
          </w:p>
          <w:p w14:paraId="01F139FD">
            <w:pPr>
              <w:spacing w:line="360" w:lineRule="auto"/>
              <w:rPr>
                <w:rFonts w:hint="eastAsia"/>
                <w:sz w:val="24"/>
                <w:szCs w:val="24"/>
              </w:rPr>
            </w:pPr>
            <w:r>
              <w:rPr>
                <w:rFonts w:hint="eastAsia"/>
                <w:sz w:val="24"/>
                <w:szCs w:val="24"/>
              </w:rPr>
              <w:t>3.4.2 支持点温、线温、面温分析：可显示图像任一点的温度及坐标；支持线段类感兴趣区域的最高温、最低温、平均温显示；支持圆形、矩形、多边形等面状感兴趣区域的最高温、最低温、平均温显示；分析过程中可通过直方图或同等效果图表展示温度点分布情况。​</w:t>
            </w:r>
          </w:p>
          <w:p w14:paraId="317DB2BA">
            <w:pPr>
              <w:spacing w:line="360" w:lineRule="auto"/>
              <w:rPr>
                <w:rFonts w:hint="eastAsia"/>
                <w:sz w:val="24"/>
                <w:szCs w:val="24"/>
              </w:rPr>
            </w:pPr>
            <w:r>
              <w:rPr>
                <w:rFonts w:hint="eastAsia"/>
                <w:sz w:val="24"/>
                <w:szCs w:val="24"/>
              </w:rPr>
              <w:t>3.4.3 不对称分析功能：支持双侧乳腺温度不对称性对比分析。​</w:t>
            </w:r>
          </w:p>
          <w:p w14:paraId="021C37BA">
            <w:pPr>
              <w:spacing w:line="360" w:lineRule="auto"/>
              <w:rPr>
                <w:rFonts w:hint="eastAsia"/>
                <w:sz w:val="24"/>
                <w:szCs w:val="24"/>
              </w:rPr>
            </w:pPr>
            <w:r>
              <w:rPr>
                <w:rFonts w:hint="eastAsia"/>
                <w:sz w:val="24"/>
                <w:szCs w:val="24"/>
              </w:rPr>
              <w:t>3.5 温度 3D 功能：支持通过切面、等温线或其他等效方式，模拟显示人体热量分布情况，便于立体观察。​</w:t>
            </w:r>
          </w:p>
          <w:p w14:paraId="1EE251DE">
            <w:pPr>
              <w:spacing w:line="360" w:lineRule="auto"/>
              <w:rPr>
                <w:rFonts w:hint="eastAsia"/>
                <w:sz w:val="24"/>
                <w:szCs w:val="24"/>
              </w:rPr>
            </w:pPr>
            <w:r>
              <w:rPr>
                <w:rFonts w:hint="eastAsia"/>
                <w:sz w:val="24"/>
                <w:szCs w:val="24"/>
              </w:rPr>
              <w:t>3.6 动态温度分析功能：支持选取人体表面 1-6 个检测点，持续分析 0.5~60min 内的温度变化，生成动态温度曲线图，数据记录准确。​</w:t>
            </w:r>
          </w:p>
          <w:p w14:paraId="54A8F5A3">
            <w:pPr>
              <w:spacing w:line="360" w:lineRule="auto"/>
              <w:rPr>
                <w:rFonts w:hint="eastAsia"/>
                <w:sz w:val="24"/>
                <w:szCs w:val="24"/>
              </w:rPr>
            </w:pPr>
            <w:r>
              <w:rPr>
                <w:rFonts w:hint="eastAsia"/>
                <w:sz w:val="24"/>
                <w:szCs w:val="24"/>
              </w:rPr>
              <w:t>3.7 曲线分析​</w:t>
            </w:r>
          </w:p>
          <w:p w14:paraId="6069BB3D">
            <w:pPr>
              <w:spacing w:line="360" w:lineRule="auto"/>
              <w:rPr>
                <w:rFonts w:hint="eastAsia"/>
                <w:sz w:val="24"/>
                <w:szCs w:val="24"/>
              </w:rPr>
            </w:pPr>
            <w:r>
              <w:rPr>
                <w:rFonts w:hint="eastAsia"/>
                <w:sz w:val="24"/>
                <w:szCs w:val="24"/>
              </w:rPr>
              <w:t>3.7.1 支持选点分析、平均值分析和区域分析：​</w:t>
            </w:r>
          </w:p>
          <w:p w14:paraId="6B6F532E">
            <w:pPr>
              <w:spacing w:line="360" w:lineRule="auto"/>
              <w:rPr>
                <w:rFonts w:hint="eastAsia"/>
                <w:sz w:val="24"/>
                <w:szCs w:val="24"/>
              </w:rPr>
            </w:pPr>
            <w:r>
              <w:rPr>
                <w:rFonts w:hint="eastAsia"/>
                <w:sz w:val="24"/>
                <w:szCs w:val="24"/>
              </w:rPr>
              <w:t>3.7.1.1 点分析：支持选取 1-7 个点进行温度分析。​</w:t>
            </w:r>
          </w:p>
          <w:p w14:paraId="3866D3DE">
            <w:pPr>
              <w:spacing w:line="360" w:lineRule="auto"/>
              <w:rPr>
                <w:rFonts w:hint="eastAsia"/>
                <w:sz w:val="24"/>
                <w:szCs w:val="24"/>
              </w:rPr>
            </w:pPr>
            <w:r>
              <w:rPr>
                <w:rFonts w:hint="eastAsia"/>
                <w:sz w:val="24"/>
                <w:szCs w:val="24"/>
              </w:rPr>
              <w:t>3.7.1.2 平均分析：支持选取 4 个或 9 个点进行平均温度分析（或支持自定义同等数量检测点）。​</w:t>
            </w:r>
          </w:p>
          <w:p w14:paraId="2FA58509">
            <w:pPr>
              <w:spacing w:line="360" w:lineRule="auto"/>
              <w:rPr>
                <w:rFonts w:hint="eastAsia"/>
                <w:sz w:val="24"/>
                <w:szCs w:val="24"/>
              </w:rPr>
            </w:pPr>
            <w:r>
              <w:rPr>
                <w:rFonts w:hint="eastAsia"/>
                <w:sz w:val="24"/>
                <w:szCs w:val="24"/>
              </w:rPr>
              <w:t>3.7.1.3 区域分析：支持最小分析范围≤0.07cm² 的区域温度分析。​</w:t>
            </w:r>
          </w:p>
          <w:p w14:paraId="2054B04D">
            <w:pPr>
              <w:spacing w:line="360" w:lineRule="auto"/>
              <w:rPr>
                <w:rFonts w:hint="eastAsia"/>
                <w:sz w:val="24"/>
                <w:szCs w:val="24"/>
              </w:rPr>
            </w:pPr>
            <w:r>
              <w:rPr>
                <w:rFonts w:hint="eastAsia"/>
                <w:sz w:val="24"/>
                <w:szCs w:val="24"/>
              </w:rPr>
              <w:t>3.7.2 支持分析区域内体层 1-18 层的逐层热量显示（或支持同等精度的分层分析功能）。​</w:t>
            </w:r>
          </w:p>
          <w:p w14:paraId="5375B7E1">
            <w:pPr>
              <w:spacing w:line="360" w:lineRule="auto"/>
              <w:rPr>
                <w:rFonts w:hint="eastAsia"/>
                <w:sz w:val="24"/>
                <w:szCs w:val="24"/>
              </w:rPr>
            </w:pPr>
            <w:r>
              <w:rPr>
                <w:rFonts w:hint="eastAsia"/>
                <w:sz w:val="24"/>
                <w:szCs w:val="24"/>
              </w:rPr>
              <w:t>3.7.3 支持显示各分析层数的对应深度信息，深度数据准确。​</w:t>
            </w:r>
          </w:p>
          <w:p w14:paraId="03D0BFE7">
            <w:pPr>
              <w:spacing w:line="360" w:lineRule="auto"/>
              <w:rPr>
                <w:rFonts w:hint="eastAsia"/>
                <w:sz w:val="24"/>
                <w:szCs w:val="24"/>
              </w:rPr>
            </w:pPr>
            <w:r>
              <w:rPr>
                <w:rFonts w:hint="eastAsia"/>
                <w:sz w:val="24"/>
                <w:szCs w:val="24"/>
              </w:rPr>
              <w:t>3.8 其它功能​</w:t>
            </w:r>
          </w:p>
          <w:p w14:paraId="2FB9E9FA">
            <w:pPr>
              <w:spacing w:line="360" w:lineRule="auto"/>
              <w:rPr>
                <w:rFonts w:hint="eastAsia"/>
                <w:sz w:val="24"/>
                <w:szCs w:val="24"/>
              </w:rPr>
            </w:pPr>
            <w:r>
              <w:rPr>
                <w:rFonts w:hint="eastAsia"/>
                <w:sz w:val="24"/>
                <w:szCs w:val="24"/>
              </w:rPr>
              <w:t>3.8.1 检查报告单打印功能：支持报告单编辑、预览，可导出并保存为 PDF 或其他通用格式。​</w:t>
            </w:r>
          </w:p>
          <w:p w14:paraId="1C85181F">
            <w:pPr>
              <w:spacing w:line="360" w:lineRule="auto"/>
              <w:rPr>
                <w:rFonts w:hint="eastAsia"/>
                <w:sz w:val="24"/>
                <w:szCs w:val="24"/>
              </w:rPr>
            </w:pPr>
            <w:r>
              <w:rPr>
                <w:rFonts w:hint="eastAsia"/>
                <w:sz w:val="24"/>
                <w:szCs w:val="24"/>
              </w:rPr>
              <w:t>3.8.2 PACS 接口：支持与医疗机构 PACS 系统对接，兼容 DICOM 标准数据的上传和下载（支持 DICOM 3.0 及以上兼容版本）。​</w:t>
            </w:r>
          </w:p>
          <w:p w14:paraId="659DE1AE">
            <w:pPr>
              <w:spacing w:line="360" w:lineRule="auto"/>
              <w:rPr>
                <w:rFonts w:hint="eastAsia"/>
                <w:sz w:val="24"/>
                <w:szCs w:val="24"/>
              </w:rPr>
            </w:pPr>
            <w:r>
              <w:rPr>
                <w:rFonts w:hint="eastAsia"/>
                <w:sz w:val="24"/>
                <w:szCs w:val="24"/>
              </w:rPr>
              <w:t>3.8.3 应用程序帮助功能：提供产品使用说明书（电子版或纸质版），支持软件操作流程查询、功能指引。​</w:t>
            </w:r>
          </w:p>
          <w:p w14:paraId="41D6F84D">
            <w:pPr>
              <w:spacing w:line="360" w:lineRule="auto"/>
              <w:rPr>
                <w:rFonts w:hint="eastAsia"/>
                <w:sz w:val="24"/>
                <w:szCs w:val="24"/>
              </w:rPr>
            </w:pPr>
            <w:r>
              <w:rPr>
                <w:rFonts w:hint="eastAsia"/>
                <w:sz w:val="24"/>
                <w:szCs w:val="24"/>
              </w:rPr>
              <w:t>3.8.4 软件使用权限保护：具备用户身份验证功能，可通过加密狗、密码验证等安全方式实现权限管理，保障数据安全。​</w:t>
            </w:r>
          </w:p>
          <w:p w14:paraId="19933944">
            <w:pPr>
              <w:spacing w:line="360" w:lineRule="auto"/>
              <w:rPr>
                <w:rFonts w:hint="eastAsia"/>
                <w:sz w:val="24"/>
                <w:szCs w:val="24"/>
              </w:rPr>
            </w:pPr>
            <w:r>
              <w:rPr>
                <w:rFonts w:hint="eastAsia"/>
                <w:sz w:val="24"/>
                <w:szCs w:val="24"/>
              </w:rPr>
              <w:t>3.8.5 用户差错防御​</w:t>
            </w:r>
          </w:p>
          <w:p w14:paraId="35C23C3B">
            <w:pPr>
              <w:spacing w:line="360" w:lineRule="auto"/>
              <w:rPr>
                <w:rFonts w:hint="eastAsia"/>
                <w:sz w:val="24"/>
                <w:szCs w:val="24"/>
              </w:rPr>
            </w:pPr>
            <w:r>
              <w:rPr>
                <w:rFonts w:hint="eastAsia"/>
                <w:sz w:val="24"/>
                <w:szCs w:val="24"/>
              </w:rPr>
              <w:t>3.8.5.1 对不完整、不准确的输入信息及不规范操作流程，具备明确的提示功能。</w:t>
            </w:r>
          </w:p>
          <w:p w14:paraId="7234A43C">
            <w:pPr>
              <w:spacing w:line="360" w:lineRule="auto"/>
              <w:rPr>
                <w:rFonts w:hint="eastAsia"/>
                <w:sz w:val="24"/>
                <w:szCs w:val="24"/>
              </w:rPr>
            </w:pPr>
            <w:r>
              <w:rPr>
                <w:rFonts w:hint="eastAsia"/>
                <w:sz w:val="24"/>
                <w:szCs w:val="24"/>
              </w:rPr>
              <w:t>3.8.5.2 对曲线删除等关键操作，具备二次确认机制，防止误操作。​</w:t>
            </w:r>
          </w:p>
          <w:p w14:paraId="0F864537">
            <w:pPr>
              <w:spacing w:line="360" w:lineRule="auto"/>
              <w:rPr>
                <w:rFonts w:hint="eastAsia"/>
                <w:sz w:val="24"/>
                <w:szCs w:val="24"/>
              </w:rPr>
            </w:pPr>
            <w:r>
              <w:rPr>
                <w:rFonts w:hint="eastAsia"/>
                <w:sz w:val="24"/>
                <w:szCs w:val="24"/>
              </w:rPr>
              <w:t>3.8.6 版权保护：通过合法合规的版权保护方式（含加密狗、软件授权等）防止盗版使用。​</w:t>
            </w:r>
          </w:p>
          <w:p w14:paraId="30ED8620">
            <w:pPr>
              <w:spacing w:line="360" w:lineRule="auto"/>
              <w:rPr>
                <w:rFonts w:hint="eastAsia"/>
                <w:sz w:val="24"/>
                <w:szCs w:val="24"/>
              </w:rPr>
            </w:pPr>
            <w:r>
              <w:rPr>
                <w:rFonts w:hint="eastAsia"/>
                <w:sz w:val="24"/>
                <w:szCs w:val="24"/>
              </w:rPr>
              <w:t>3.8.7 可靠性​</w:t>
            </w:r>
          </w:p>
          <w:p w14:paraId="36BCCE67">
            <w:pPr>
              <w:spacing w:line="360" w:lineRule="auto"/>
              <w:rPr>
                <w:rFonts w:hint="eastAsia"/>
                <w:sz w:val="24"/>
                <w:szCs w:val="24"/>
              </w:rPr>
            </w:pPr>
            <w:r>
              <w:rPr>
                <w:rFonts w:hint="eastAsia"/>
                <w:sz w:val="24"/>
                <w:szCs w:val="24"/>
              </w:rPr>
              <w:t>3.8.7.1 支持数据库手动备份或自动备份功能。​</w:t>
            </w:r>
          </w:p>
          <w:p w14:paraId="73866B1E">
            <w:pPr>
              <w:spacing w:line="360" w:lineRule="auto"/>
              <w:rPr>
                <w:rFonts w:hint="eastAsia"/>
                <w:sz w:val="24"/>
                <w:szCs w:val="24"/>
              </w:rPr>
            </w:pPr>
            <w:r>
              <w:rPr>
                <w:rFonts w:hint="eastAsia"/>
                <w:sz w:val="24"/>
                <w:szCs w:val="24"/>
              </w:rPr>
              <w:t>3.8.7.2 软件异常关闭后，已保存数据不丢失，重新启动后可正常运行。​</w:t>
            </w:r>
          </w:p>
          <w:p w14:paraId="2B1FABED">
            <w:pPr>
              <w:spacing w:line="360" w:lineRule="auto"/>
              <w:rPr>
                <w:rFonts w:hint="eastAsia"/>
                <w:sz w:val="24"/>
                <w:szCs w:val="24"/>
              </w:rPr>
            </w:pPr>
            <w:r>
              <w:rPr>
                <w:rFonts w:hint="eastAsia"/>
                <w:sz w:val="24"/>
                <w:szCs w:val="24"/>
              </w:rPr>
              <w:t>3.8.8 维护性：支持通过运行日志进行系统维护，日志需记录运行时间、操作记录、故障信息等关键内容。​</w:t>
            </w:r>
          </w:p>
          <w:p w14:paraId="5F3762E9">
            <w:pPr>
              <w:spacing w:line="360" w:lineRule="auto"/>
              <w:rPr>
                <w:rFonts w:hint="eastAsia"/>
                <w:sz w:val="24"/>
                <w:szCs w:val="24"/>
              </w:rPr>
            </w:pPr>
            <w:r>
              <w:rPr>
                <w:rFonts w:hint="eastAsia"/>
                <w:sz w:val="24"/>
                <w:szCs w:val="24"/>
              </w:rPr>
              <w:t>4. 软件质量要求​</w:t>
            </w:r>
          </w:p>
          <w:p w14:paraId="5AE28825">
            <w:pPr>
              <w:spacing w:line="360" w:lineRule="auto"/>
              <w:rPr>
                <w:rFonts w:hint="eastAsia" w:ascii="宋体" w:hAnsi="宋体" w:cs="宋体"/>
                <w:sz w:val="24"/>
                <w:szCs w:val="24"/>
                <w:vertAlign w:val="baseline"/>
                <w:lang w:val="en-US" w:eastAsia="zh-CN"/>
              </w:rPr>
            </w:pPr>
            <w:r>
              <w:rPr>
                <w:rFonts w:hint="eastAsia"/>
                <w:sz w:val="24"/>
                <w:szCs w:val="24"/>
              </w:rPr>
              <w:t>符合 GB/T 25000.51-2016第5章要求（5.1.13~5.1.17、5.2.15~5.2.19、5.3.9~5.3.13 条款除外），提供相关检测报告或符合性声明。​</w:t>
            </w:r>
          </w:p>
        </w:tc>
      </w:tr>
    </w:tbl>
    <w:p w14:paraId="7E12C443">
      <w:pPr>
        <w:numPr>
          <w:ilvl w:val="0"/>
          <w:numId w:val="0"/>
        </w:numPr>
        <w:ind w:leftChars="0"/>
        <w:jc w:val="left"/>
        <w:rPr>
          <w:rFonts w:hint="eastAsia" w:ascii="宋体" w:hAnsi="宋体" w:cs="宋体"/>
          <w:sz w:val="24"/>
          <w:szCs w:val="24"/>
          <w:lang w:val="en-US" w:eastAsia="zh-CN"/>
        </w:rPr>
      </w:pPr>
    </w:p>
    <w:p w14:paraId="5E4CB3DA">
      <w:pPr>
        <w:rPr>
          <w:b/>
          <w:bCs/>
        </w:rPr>
      </w:pPr>
      <w:r>
        <w:rPr>
          <w:rFonts w:hint="eastAsia"/>
          <w:b/>
          <w:bCs/>
        </w:rPr>
        <w:t>要求/备注说明</w:t>
      </w:r>
    </w:p>
    <w:tbl>
      <w:tblPr>
        <w:tblStyle w:val="5"/>
        <w:tblW w:w="5264" w:type="pct"/>
        <w:jc w:val="center"/>
        <w:tblLayout w:type="autofit"/>
        <w:tblCellMar>
          <w:top w:w="0" w:type="dxa"/>
          <w:left w:w="108" w:type="dxa"/>
          <w:bottom w:w="0" w:type="dxa"/>
          <w:right w:w="108" w:type="dxa"/>
        </w:tblCellMar>
      </w:tblPr>
      <w:tblGrid>
        <w:gridCol w:w="1240"/>
        <w:gridCol w:w="7732"/>
      </w:tblGrid>
      <w:tr w14:paraId="504DD15D">
        <w:tblPrEx>
          <w:tblCellMar>
            <w:top w:w="0" w:type="dxa"/>
            <w:left w:w="108" w:type="dxa"/>
            <w:bottom w:w="0" w:type="dxa"/>
            <w:right w:w="108" w:type="dxa"/>
          </w:tblCellMar>
        </w:tblPrEx>
        <w:trPr>
          <w:trHeight w:val="702" w:hRule="atLeast"/>
          <w:jc w:val="center"/>
        </w:trPr>
        <w:tc>
          <w:tcPr>
            <w:tcW w:w="691" w:type="pct"/>
            <w:tcBorders>
              <w:top w:val="single" w:color="auto" w:sz="4" w:space="0"/>
              <w:left w:val="single" w:color="auto" w:sz="4" w:space="0"/>
              <w:bottom w:val="single" w:color="auto" w:sz="4" w:space="0"/>
              <w:right w:val="single" w:color="auto" w:sz="4" w:space="0"/>
            </w:tcBorders>
            <w:vAlign w:val="center"/>
          </w:tcPr>
          <w:p w14:paraId="2E9E3202">
            <w:pPr>
              <w:pStyle w:val="9"/>
              <w:rPr>
                <w:b/>
                <w:bCs/>
              </w:rPr>
            </w:pPr>
            <w:r>
              <w:rPr>
                <w:rFonts w:hint="eastAsia"/>
                <w:b/>
                <w:bCs/>
              </w:rPr>
              <w:t>核心产品</w:t>
            </w:r>
          </w:p>
        </w:tc>
        <w:tc>
          <w:tcPr>
            <w:tcW w:w="4308" w:type="pct"/>
            <w:tcBorders>
              <w:top w:val="single" w:color="auto" w:sz="4" w:space="0"/>
              <w:left w:val="single" w:color="auto" w:sz="4" w:space="0"/>
              <w:bottom w:val="single" w:color="auto" w:sz="4" w:space="0"/>
              <w:right w:val="single" w:color="auto" w:sz="4" w:space="0"/>
            </w:tcBorders>
            <w:vAlign w:val="center"/>
          </w:tcPr>
          <w:p w14:paraId="4662D0AF">
            <w:pPr>
              <w:pStyle w:val="9"/>
            </w:pPr>
            <w:r>
              <w:rPr>
                <w:rFonts w:hint="eastAsia"/>
              </w:rPr>
              <w:t>非单一产品采购项目，采购人应当根据采购项目技术构成、产品价格比重等合理确定一个核心产品（采购清单中作与核心产品“相同〈或同一〉品牌”要求的产品，视为一个核心产品），并以“核心产品”在采购清单要求/备注栏中标注。</w:t>
            </w:r>
          </w:p>
        </w:tc>
      </w:tr>
      <w:tr w14:paraId="5B36A762">
        <w:tblPrEx>
          <w:tblCellMar>
            <w:top w:w="0" w:type="dxa"/>
            <w:left w:w="108" w:type="dxa"/>
            <w:bottom w:w="0" w:type="dxa"/>
            <w:right w:w="108" w:type="dxa"/>
          </w:tblCellMar>
        </w:tblPrEx>
        <w:trPr>
          <w:trHeight w:val="702" w:hRule="atLeast"/>
          <w:jc w:val="center"/>
        </w:trPr>
        <w:tc>
          <w:tcPr>
            <w:tcW w:w="691" w:type="pct"/>
            <w:tcBorders>
              <w:top w:val="single" w:color="auto" w:sz="4" w:space="0"/>
              <w:left w:val="single" w:color="auto" w:sz="4" w:space="0"/>
              <w:bottom w:val="single" w:color="auto" w:sz="4" w:space="0"/>
              <w:right w:val="single" w:color="auto" w:sz="4" w:space="0"/>
            </w:tcBorders>
            <w:vAlign w:val="center"/>
          </w:tcPr>
          <w:p w14:paraId="77243ABD">
            <w:pPr>
              <w:pStyle w:val="9"/>
              <w:rPr>
                <w:b/>
                <w:bCs/>
              </w:rPr>
            </w:pPr>
            <w:r>
              <w:rPr>
                <w:rFonts w:hint="eastAsia"/>
                <w:b/>
                <w:bCs/>
              </w:rPr>
              <w:t>节能产品</w:t>
            </w:r>
          </w:p>
        </w:tc>
        <w:tc>
          <w:tcPr>
            <w:tcW w:w="4308" w:type="pct"/>
            <w:tcBorders>
              <w:top w:val="single" w:color="auto" w:sz="4" w:space="0"/>
              <w:left w:val="single" w:color="auto" w:sz="4" w:space="0"/>
              <w:bottom w:val="single" w:color="auto" w:sz="4" w:space="0"/>
              <w:right w:val="single" w:color="auto" w:sz="4" w:space="0"/>
            </w:tcBorders>
            <w:vAlign w:val="center"/>
          </w:tcPr>
          <w:p w14:paraId="158D4D7C">
            <w:pPr>
              <w:pStyle w:val="9"/>
            </w:pPr>
            <w:r>
              <w:rPr>
                <w:rFonts w:hint="eastAsia"/>
              </w:rPr>
              <w:t>采购清单要求/备注栏中注明“节能产品”的标的，为强制采购节能产品。依据财库〔</w:t>
            </w:r>
            <w:r>
              <w:t>2019〕</w:t>
            </w:r>
            <w:r>
              <w:rPr>
                <w:rFonts w:hint="eastAsia"/>
              </w:rPr>
              <w:t>9号文的规定，应提供国家确定的认证机构出具的节能产品认证证书。</w:t>
            </w:r>
          </w:p>
        </w:tc>
      </w:tr>
      <w:tr w14:paraId="3D9A9AEB">
        <w:tblPrEx>
          <w:tblCellMar>
            <w:top w:w="0" w:type="dxa"/>
            <w:left w:w="108" w:type="dxa"/>
            <w:bottom w:w="0" w:type="dxa"/>
            <w:right w:w="108" w:type="dxa"/>
          </w:tblCellMar>
        </w:tblPrEx>
        <w:trPr>
          <w:trHeight w:val="702" w:hRule="atLeast"/>
          <w:jc w:val="center"/>
        </w:trPr>
        <w:tc>
          <w:tcPr>
            <w:tcW w:w="691" w:type="pct"/>
            <w:tcBorders>
              <w:top w:val="single" w:color="auto" w:sz="4" w:space="0"/>
              <w:left w:val="single" w:color="auto" w:sz="4" w:space="0"/>
              <w:bottom w:val="single" w:color="auto" w:sz="4" w:space="0"/>
              <w:right w:val="single" w:color="auto" w:sz="4" w:space="0"/>
            </w:tcBorders>
            <w:vAlign w:val="center"/>
          </w:tcPr>
          <w:p w14:paraId="37D07F21">
            <w:pPr>
              <w:pStyle w:val="9"/>
              <w:rPr>
                <w:b/>
                <w:bCs/>
              </w:rPr>
            </w:pPr>
            <w:r>
              <w:rPr>
                <w:rFonts w:hint="eastAsia"/>
                <w:b/>
                <w:bCs/>
              </w:rPr>
              <w:t>进口产品</w:t>
            </w:r>
          </w:p>
        </w:tc>
        <w:tc>
          <w:tcPr>
            <w:tcW w:w="4308" w:type="pct"/>
            <w:tcBorders>
              <w:top w:val="single" w:color="auto" w:sz="4" w:space="0"/>
              <w:left w:val="single" w:color="auto" w:sz="4" w:space="0"/>
              <w:bottom w:val="single" w:color="auto" w:sz="4" w:space="0"/>
              <w:right w:val="single" w:color="auto" w:sz="4" w:space="0"/>
            </w:tcBorders>
            <w:vAlign w:val="center"/>
          </w:tcPr>
          <w:p w14:paraId="3616A438">
            <w:pPr>
              <w:pStyle w:val="9"/>
            </w:pPr>
            <w:r>
              <w:rPr>
                <w:rFonts w:hint="eastAsia"/>
              </w:rPr>
              <w:t>采购清单要求/备注栏中注明“进口产品”的标的。可使用</w:t>
            </w:r>
            <w:r>
              <w:rPr>
                <w:rFonts w:hint="eastAsia"/>
                <w:szCs w:val="24"/>
                <w:lang w:val="zh-CN"/>
              </w:rPr>
              <w:t>进口产品参加磋商。</w:t>
            </w:r>
          </w:p>
        </w:tc>
      </w:tr>
      <w:tr w14:paraId="061157D4">
        <w:tblPrEx>
          <w:tblCellMar>
            <w:top w:w="0" w:type="dxa"/>
            <w:left w:w="108" w:type="dxa"/>
            <w:bottom w:w="0" w:type="dxa"/>
            <w:right w:w="108" w:type="dxa"/>
          </w:tblCellMar>
        </w:tblPrEx>
        <w:trPr>
          <w:trHeight w:val="548" w:hRule="atLeast"/>
          <w:jc w:val="center"/>
        </w:trPr>
        <w:tc>
          <w:tcPr>
            <w:tcW w:w="691" w:type="pct"/>
            <w:tcBorders>
              <w:top w:val="single" w:color="auto" w:sz="4" w:space="0"/>
              <w:left w:val="single" w:color="auto" w:sz="4" w:space="0"/>
              <w:bottom w:val="single" w:color="auto" w:sz="4" w:space="0"/>
              <w:right w:val="single" w:color="auto" w:sz="4" w:space="0"/>
            </w:tcBorders>
            <w:vAlign w:val="center"/>
          </w:tcPr>
          <w:p w14:paraId="0F1909A9">
            <w:pPr>
              <w:pStyle w:val="9"/>
              <w:rPr>
                <w:b/>
                <w:bCs/>
              </w:rPr>
            </w:pPr>
            <w:r>
              <w:rPr>
                <w:rFonts w:hint="eastAsia"/>
                <w:b/>
                <w:bCs/>
              </w:rPr>
              <w:t>适宜中小企业提供</w:t>
            </w:r>
          </w:p>
        </w:tc>
        <w:tc>
          <w:tcPr>
            <w:tcW w:w="4308" w:type="pct"/>
            <w:tcBorders>
              <w:top w:val="single" w:color="auto" w:sz="4" w:space="0"/>
              <w:left w:val="single" w:color="auto" w:sz="4" w:space="0"/>
              <w:bottom w:val="single" w:color="auto" w:sz="4" w:space="0"/>
              <w:right w:val="single" w:color="auto" w:sz="4" w:space="0"/>
            </w:tcBorders>
            <w:vAlign w:val="center"/>
          </w:tcPr>
          <w:p w14:paraId="57357249">
            <w:pPr>
              <w:pStyle w:val="9"/>
              <w:rPr>
                <w:sz w:val="20"/>
                <w:szCs w:val="20"/>
              </w:rPr>
            </w:pPr>
            <w:r>
              <w:rPr>
                <w:rFonts w:hint="eastAsia"/>
                <w:sz w:val="20"/>
                <w:szCs w:val="20"/>
              </w:rPr>
              <w:t>采购清单要求/备注栏中注明“适宜中小企业提供”的标的，应当按照竞争性磋商文件要求全部或部分由联合体提供或进行合同分包。</w:t>
            </w:r>
          </w:p>
        </w:tc>
      </w:tr>
      <w:tr w14:paraId="08CDAB58">
        <w:tblPrEx>
          <w:tblCellMar>
            <w:top w:w="0" w:type="dxa"/>
            <w:left w:w="108" w:type="dxa"/>
            <w:bottom w:w="0" w:type="dxa"/>
            <w:right w:w="108" w:type="dxa"/>
          </w:tblCellMar>
        </w:tblPrEx>
        <w:trPr>
          <w:trHeight w:val="548" w:hRule="atLeast"/>
          <w:jc w:val="center"/>
        </w:trPr>
        <w:tc>
          <w:tcPr>
            <w:tcW w:w="691" w:type="pct"/>
            <w:tcBorders>
              <w:top w:val="single" w:color="auto" w:sz="4" w:space="0"/>
              <w:left w:val="single" w:color="auto" w:sz="4" w:space="0"/>
              <w:bottom w:val="single" w:color="auto" w:sz="4" w:space="0"/>
              <w:right w:val="single" w:color="auto" w:sz="4" w:space="0"/>
            </w:tcBorders>
            <w:vAlign w:val="center"/>
          </w:tcPr>
          <w:p w14:paraId="1896920B">
            <w:pPr>
              <w:pStyle w:val="9"/>
              <w:rPr>
                <w:b/>
                <w:bCs/>
              </w:rPr>
            </w:pPr>
            <w:r>
              <w:rPr>
                <w:rFonts w:hint="eastAsia"/>
                <w:b/>
                <w:bCs/>
              </w:rPr>
              <w:t>合同分包</w:t>
            </w:r>
          </w:p>
        </w:tc>
        <w:tc>
          <w:tcPr>
            <w:tcW w:w="4308" w:type="pct"/>
            <w:tcBorders>
              <w:top w:val="single" w:color="auto" w:sz="4" w:space="0"/>
              <w:left w:val="single" w:color="auto" w:sz="4" w:space="0"/>
              <w:bottom w:val="single" w:color="auto" w:sz="4" w:space="0"/>
              <w:right w:val="single" w:color="auto" w:sz="4" w:space="0"/>
            </w:tcBorders>
            <w:vAlign w:val="center"/>
          </w:tcPr>
          <w:p w14:paraId="2E757031">
            <w:pPr>
              <w:pStyle w:val="9"/>
              <w:rPr>
                <w:sz w:val="20"/>
                <w:szCs w:val="20"/>
              </w:rPr>
            </w:pPr>
            <w:r>
              <w:rPr>
                <w:rFonts w:hint="eastAsia"/>
                <w:sz w:val="20"/>
                <w:szCs w:val="20"/>
              </w:rPr>
              <w:t>采购清单要求/备注栏中未注明“允许分包”的标的，不得合同分包。</w:t>
            </w:r>
          </w:p>
        </w:tc>
      </w:tr>
    </w:tbl>
    <w:p w14:paraId="1E22A7BE">
      <w:pPr>
        <w:rPr>
          <w:b/>
          <w:bCs/>
          <w:highlight w:val="none"/>
        </w:rPr>
      </w:pPr>
    </w:p>
    <w:p w14:paraId="678A30B7">
      <w:pPr>
        <w:rPr>
          <w:b/>
          <w:bCs/>
          <w:highlight w:val="none"/>
        </w:rPr>
      </w:pPr>
      <w:r>
        <w:rPr>
          <w:rFonts w:hint="eastAsia"/>
          <w:b/>
          <w:bCs/>
          <w:highlight w:val="none"/>
        </w:rPr>
        <w:t>其他要求：</w:t>
      </w:r>
    </w:p>
    <w:tbl>
      <w:tblPr>
        <w:tblStyle w:val="5"/>
        <w:tblW w:w="5139" w:type="pct"/>
        <w:jc w:val="center"/>
        <w:tblLayout w:type="autofit"/>
        <w:tblCellMar>
          <w:top w:w="0" w:type="dxa"/>
          <w:left w:w="108" w:type="dxa"/>
          <w:bottom w:w="0" w:type="dxa"/>
          <w:right w:w="108" w:type="dxa"/>
        </w:tblCellMar>
      </w:tblPr>
      <w:tblGrid>
        <w:gridCol w:w="1980"/>
        <w:gridCol w:w="6779"/>
      </w:tblGrid>
      <w:tr w14:paraId="01F549A3">
        <w:tblPrEx>
          <w:tblCellMar>
            <w:top w:w="0" w:type="dxa"/>
            <w:left w:w="108" w:type="dxa"/>
            <w:bottom w:w="0" w:type="dxa"/>
            <w:right w:w="108" w:type="dxa"/>
          </w:tblCellMar>
        </w:tblPrEx>
        <w:trPr>
          <w:trHeight w:val="699" w:hRule="atLeast"/>
          <w:jc w:val="center"/>
        </w:trPr>
        <w:tc>
          <w:tcPr>
            <w:tcW w:w="1130" w:type="pct"/>
            <w:tcBorders>
              <w:top w:val="single" w:color="auto" w:sz="4" w:space="0"/>
              <w:left w:val="single" w:color="auto" w:sz="4" w:space="0"/>
              <w:bottom w:val="single" w:color="auto" w:sz="4" w:space="0"/>
              <w:right w:val="single" w:color="auto" w:sz="4" w:space="0"/>
            </w:tcBorders>
            <w:vAlign w:val="center"/>
          </w:tcPr>
          <w:p w14:paraId="52782313">
            <w:pPr>
              <w:pStyle w:val="9"/>
              <w:jc w:val="center"/>
              <w:rPr>
                <w:b/>
                <w:bCs/>
                <w:highlight w:val="none"/>
              </w:rPr>
            </w:pPr>
            <w:r>
              <w:rPr>
                <w:rFonts w:hint="eastAsia"/>
                <w:b/>
                <w:bCs/>
                <w:highlight w:val="none"/>
              </w:rPr>
              <w:t>交货期</w:t>
            </w:r>
          </w:p>
        </w:tc>
        <w:tc>
          <w:tcPr>
            <w:tcW w:w="3869" w:type="pct"/>
            <w:tcBorders>
              <w:top w:val="single" w:color="auto" w:sz="4" w:space="0"/>
              <w:left w:val="single" w:color="auto" w:sz="4" w:space="0"/>
              <w:bottom w:val="single" w:color="auto" w:sz="4" w:space="0"/>
              <w:right w:val="single" w:color="auto" w:sz="4" w:space="0"/>
            </w:tcBorders>
            <w:vAlign w:val="center"/>
          </w:tcPr>
          <w:p w14:paraId="1BF0E7D6">
            <w:pPr>
              <w:pStyle w:val="9"/>
              <w:rPr>
                <w:highlight w:val="none"/>
              </w:rPr>
            </w:pPr>
            <w:r>
              <w:rPr>
                <w:rFonts w:hint="eastAsia"/>
                <w:highlight w:val="none"/>
              </w:rPr>
              <w:t>合同签订之日起</w:t>
            </w:r>
            <w:r>
              <w:rPr>
                <w:rFonts w:hint="eastAsia"/>
                <w:highlight w:val="none"/>
                <w:u w:val="single"/>
              </w:rPr>
              <w:t xml:space="preserve"> </w:t>
            </w:r>
            <w:r>
              <w:rPr>
                <w:rFonts w:hint="eastAsia"/>
                <w:highlight w:val="none"/>
                <w:u w:val="single"/>
                <w:lang w:val="en-US" w:eastAsia="zh-CN"/>
              </w:rPr>
              <w:t>7</w:t>
            </w:r>
            <w:r>
              <w:rPr>
                <w:rFonts w:hint="eastAsia"/>
                <w:highlight w:val="none"/>
                <w:u w:val="single"/>
              </w:rPr>
              <w:t xml:space="preserve"> </w:t>
            </w:r>
            <w:r>
              <w:rPr>
                <w:rFonts w:hint="eastAsia"/>
                <w:highlight w:val="none"/>
              </w:rPr>
              <w:t>个日历天</w:t>
            </w:r>
          </w:p>
        </w:tc>
      </w:tr>
      <w:tr w14:paraId="5F8BE49B">
        <w:tblPrEx>
          <w:tblCellMar>
            <w:top w:w="0" w:type="dxa"/>
            <w:left w:w="108" w:type="dxa"/>
            <w:bottom w:w="0" w:type="dxa"/>
            <w:right w:w="108" w:type="dxa"/>
          </w:tblCellMar>
        </w:tblPrEx>
        <w:trPr>
          <w:trHeight w:val="633" w:hRule="atLeast"/>
          <w:jc w:val="center"/>
        </w:trPr>
        <w:tc>
          <w:tcPr>
            <w:tcW w:w="1130" w:type="pct"/>
            <w:tcBorders>
              <w:top w:val="single" w:color="auto" w:sz="4" w:space="0"/>
              <w:left w:val="single" w:color="auto" w:sz="4" w:space="0"/>
              <w:bottom w:val="single" w:color="auto" w:sz="4" w:space="0"/>
              <w:right w:val="single" w:color="auto" w:sz="4" w:space="0"/>
            </w:tcBorders>
            <w:vAlign w:val="center"/>
          </w:tcPr>
          <w:p w14:paraId="06D7520D">
            <w:pPr>
              <w:pStyle w:val="9"/>
              <w:jc w:val="center"/>
              <w:rPr>
                <w:b/>
                <w:bCs/>
                <w:highlight w:val="none"/>
              </w:rPr>
            </w:pPr>
            <w:r>
              <w:rPr>
                <w:rFonts w:hint="eastAsia"/>
                <w:b/>
                <w:bCs/>
                <w:highlight w:val="none"/>
              </w:rPr>
              <w:t>质保期/</w:t>
            </w:r>
          </w:p>
          <w:p w14:paraId="66EB78C8">
            <w:pPr>
              <w:pStyle w:val="9"/>
              <w:jc w:val="center"/>
              <w:rPr>
                <w:b/>
                <w:bCs/>
                <w:highlight w:val="none"/>
              </w:rPr>
            </w:pPr>
            <w:r>
              <w:rPr>
                <w:rFonts w:hint="eastAsia"/>
                <w:b/>
                <w:bCs/>
                <w:highlight w:val="none"/>
              </w:rPr>
              <w:t>服务期</w:t>
            </w:r>
          </w:p>
        </w:tc>
        <w:tc>
          <w:tcPr>
            <w:tcW w:w="3869" w:type="pct"/>
            <w:tcBorders>
              <w:top w:val="single" w:color="auto" w:sz="4" w:space="0"/>
              <w:left w:val="single" w:color="auto" w:sz="4" w:space="0"/>
              <w:bottom w:val="single" w:color="auto" w:sz="4" w:space="0"/>
              <w:right w:val="single" w:color="auto" w:sz="4" w:space="0"/>
            </w:tcBorders>
            <w:vAlign w:val="center"/>
          </w:tcPr>
          <w:p w14:paraId="5F1A4355">
            <w:pPr>
              <w:pStyle w:val="9"/>
              <w:rPr>
                <w:highlight w:val="none"/>
              </w:rPr>
            </w:pPr>
            <w:r>
              <w:rPr>
                <w:rFonts w:hint="eastAsia"/>
                <w:highlight w:val="none"/>
              </w:rPr>
              <w:t>采购人验收合格之日起</w:t>
            </w:r>
            <w:r>
              <w:rPr>
                <w:rFonts w:hint="eastAsia"/>
                <w:highlight w:val="none"/>
                <w:u w:val="single"/>
              </w:rPr>
              <w:t xml:space="preserve"> </w:t>
            </w:r>
            <w:r>
              <w:rPr>
                <w:rFonts w:hint="eastAsia"/>
                <w:highlight w:val="none"/>
                <w:u w:val="single"/>
                <w:lang w:val="en-US" w:eastAsia="zh-CN"/>
              </w:rPr>
              <w:t xml:space="preserve"> 1</w:t>
            </w:r>
            <w:r>
              <w:rPr>
                <w:rFonts w:hint="eastAsia"/>
                <w:highlight w:val="none"/>
                <w:u w:val="single"/>
              </w:rPr>
              <w:t xml:space="preserve"> </w:t>
            </w:r>
            <w:r>
              <w:rPr>
                <w:rFonts w:hint="eastAsia"/>
                <w:highlight w:val="none"/>
                <w:u w:val="single"/>
                <w:lang w:val="en-US" w:eastAsia="zh-CN"/>
              </w:rPr>
              <w:t xml:space="preserve"> </w:t>
            </w:r>
            <w:r>
              <w:rPr>
                <w:rFonts w:hint="eastAsia"/>
                <w:highlight w:val="none"/>
              </w:rPr>
              <w:t>年</w:t>
            </w:r>
          </w:p>
        </w:tc>
      </w:tr>
    </w:tbl>
    <w:p w14:paraId="266D0FD1">
      <w:pPr>
        <w:pStyle w:val="3"/>
        <w:numPr>
          <w:ilvl w:val="0"/>
          <w:numId w:val="0"/>
        </w:numPr>
        <w:ind w:leftChars="0"/>
      </w:pPr>
      <w:bookmarkStart w:id="16" w:name="_Toc156490322"/>
      <w:bookmarkStart w:id="17" w:name="_Toc163493626"/>
      <w:r>
        <w:rPr>
          <w:rFonts w:hint="eastAsia"/>
          <w:lang w:val="en-US" w:eastAsia="zh-CN"/>
        </w:rPr>
        <w:t>三、</w:t>
      </w:r>
      <w:r>
        <w:rPr>
          <w:rFonts w:hint="eastAsia"/>
        </w:rPr>
        <w:t>项目概述</w:t>
      </w:r>
      <w:bookmarkEnd w:id="16"/>
      <w:bookmarkEnd w:id="17"/>
    </w:p>
    <w:p w14:paraId="4E3F39DD">
      <w:pPr>
        <w:ind w:firstLine="420"/>
        <w:rPr>
          <w:rFonts w:hint="eastAsia" w:ascii="宋体" w:hAnsi="宋体" w:eastAsia="宋体" w:cstheme="minorBidi"/>
          <w:kern w:val="2"/>
          <w:sz w:val="24"/>
          <w:szCs w:val="22"/>
          <w:lang w:val="en-US" w:eastAsia="zh-CN" w:bidi="ar-SA"/>
        </w:rPr>
      </w:pPr>
      <w:r>
        <w:rPr>
          <w:rFonts w:hint="eastAsia" w:ascii="宋体" w:hAnsi="宋体" w:eastAsia="宋体" w:cstheme="minorBidi"/>
          <w:kern w:val="2"/>
          <w:sz w:val="24"/>
          <w:szCs w:val="22"/>
          <w:lang w:val="zh-CN" w:eastAsia="zh-CN" w:bidi="ar-SA"/>
        </w:rPr>
        <w:t>采购标的需实现的功能或者目标，以及为落实政府采购政策需满足的要求。</w:t>
      </w:r>
    </w:p>
    <w:p w14:paraId="6D28F289">
      <w:pPr>
        <w:pStyle w:val="3"/>
        <w:numPr>
          <w:ilvl w:val="0"/>
          <w:numId w:val="0"/>
        </w:numPr>
        <w:ind w:leftChars="0"/>
      </w:pPr>
      <w:bookmarkStart w:id="18" w:name="_Toc156490323"/>
      <w:bookmarkStart w:id="19" w:name="_Toc163493627"/>
      <w:r>
        <w:rPr>
          <w:rFonts w:hint="eastAsia"/>
          <w:lang w:val="en-US" w:eastAsia="zh-CN"/>
        </w:rPr>
        <w:t>四、</w:t>
      </w:r>
      <w:r>
        <w:rPr>
          <w:rFonts w:hint="eastAsia"/>
        </w:rPr>
        <w:t>执行的相关标准、规范</w:t>
      </w:r>
      <w:bookmarkEnd w:id="18"/>
      <w:bookmarkEnd w:id="19"/>
    </w:p>
    <w:p w14:paraId="65DE8E2D">
      <w:pPr>
        <w:pStyle w:val="10"/>
        <w:ind w:firstLine="0" w:firstLineChars="0"/>
      </w:pPr>
      <w:r>
        <w:rPr>
          <w:rFonts w:hint="eastAsia"/>
        </w:rPr>
        <w:t>采购内容需执行的国家相关标准、行业标准、地方标准或者其他标准、规范。</w:t>
      </w:r>
    </w:p>
    <w:p w14:paraId="7000FDE2">
      <w:pPr>
        <w:rPr>
          <w:rFonts w:hint="eastAsia" w:cs="宋体" w:asciiTheme="majorEastAsia" w:hAnsiTheme="majorEastAsia" w:eastAsiaTheme="majorEastAsia"/>
          <w:color w:val="000000"/>
          <w:kern w:val="0"/>
          <w:szCs w:val="21"/>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137150"/>
    <w:multiLevelType w:val="singleLevel"/>
    <w:tmpl w:val="86137150"/>
    <w:lvl w:ilvl="0" w:tentative="0">
      <w:start w:val="1"/>
      <w:numFmt w:val="chineseCounting"/>
      <w:suff w:val="nothing"/>
      <w:lvlText w:val="%1、"/>
      <w:lvlJc w:val="left"/>
      <w:rPr>
        <w:rFonts w:hint="eastAsia"/>
      </w:rPr>
    </w:lvl>
  </w:abstractNum>
  <w:abstractNum w:abstractNumId="1">
    <w:nsid w:val="447B6378"/>
    <w:multiLevelType w:val="multilevel"/>
    <w:tmpl w:val="447B6378"/>
    <w:lvl w:ilvl="0" w:tentative="0">
      <w:start w:val="1"/>
      <w:numFmt w:val="decimal"/>
      <w:pStyle w:val="11"/>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D447E8"/>
    <w:rsid w:val="053C512E"/>
    <w:rsid w:val="09216B15"/>
    <w:rsid w:val="1B8B7181"/>
    <w:rsid w:val="211514D5"/>
    <w:rsid w:val="255A71DF"/>
    <w:rsid w:val="26355556"/>
    <w:rsid w:val="277F6B8C"/>
    <w:rsid w:val="2DF301D1"/>
    <w:rsid w:val="34180991"/>
    <w:rsid w:val="35260E8C"/>
    <w:rsid w:val="39ED01CA"/>
    <w:rsid w:val="3C680C91"/>
    <w:rsid w:val="3D4F4CF8"/>
    <w:rsid w:val="41870383"/>
    <w:rsid w:val="41FE24F7"/>
    <w:rsid w:val="46C422B2"/>
    <w:rsid w:val="56C87B9D"/>
    <w:rsid w:val="5889510A"/>
    <w:rsid w:val="5C451348"/>
    <w:rsid w:val="6E622A31"/>
    <w:rsid w:val="70D447E8"/>
    <w:rsid w:val="787A40B1"/>
    <w:rsid w:val="7FFD1D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8"/>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widowControl w:val="0"/>
      <w:suppressLineNumbers w:val="0"/>
      <w:spacing w:before="0" w:beforeAutospacing="0" w:after="0" w:afterAutospacing="0" w:line="576" w:lineRule="auto"/>
      <w:ind w:left="0" w:right="0"/>
      <w:jc w:val="both"/>
      <w:outlineLvl w:val="0"/>
    </w:pPr>
    <w:rPr>
      <w:rFonts w:hint="default" w:ascii="Calibri" w:hAnsi="Calibri" w:eastAsia="宋体" w:cs="Times New Roman"/>
      <w:b/>
      <w:kern w:val="44"/>
      <w:sz w:val="44"/>
      <w:szCs w:val="44"/>
      <w:lang w:val="en-US" w:eastAsia="zh-CN" w:bidi="ar"/>
    </w:rPr>
  </w:style>
  <w:style w:type="paragraph" w:styleId="3">
    <w:name w:val="heading 2"/>
    <w:basedOn w:val="1"/>
    <w:next w:val="1"/>
    <w:unhideWhenUsed/>
    <w:qFormat/>
    <w:uiPriority w:val="0"/>
    <w:pPr>
      <w:keepNext/>
      <w:keepLines/>
      <w:spacing w:before="260" w:after="260" w:line="416" w:lineRule="auto"/>
      <w:outlineLvl w:val="1"/>
    </w:pPr>
    <w:rPr>
      <w:rFonts w:ascii="Calibri Light" w:hAnsi="Calibri Light" w:eastAsia="黑体" w:cs="Times New Roman"/>
      <w:b/>
      <w:bCs/>
      <w:sz w:val="32"/>
      <w:szCs w:val="32"/>
    </w:rPr>
  </w:style>
  <w:style w:type="paragraph" w:styleId="4">
    <w:name w:val="heading 3"/>
    <w:basedOn w:val="1"/>
    <w:next w:val="1"/>
    <w:unhideWhenUsed/>
    <w:qFormat/>
    <w:uiPriority w:val="9"/>
    <w:pPr>
      <w:keepNext/>
      <w:keepLines/>
      <w:spacing w:before="260" w:after="260" w:line="416" w:lineRule="auto"/>
      <w:outlineLvl w:val="2"/>
    </w:pPr>
    <w:rPr>
      <w:b/>
      <w:bCs/>
      <w:sz w:val="30"/>
      <w:szCs w:val="32"/>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NormalCharacter"/>
    <w:link w:val="1"/>
    <w:autoRedefine/>
    <w:qFormat/>
    <w:uiPriority w:val="0"/>
    <w:rPr>
      <w:rFonts w:ascii="Calibri" w:hAnsi="Calibri" w:eastAsia="宋体" w:cs="Times New Roman"/>
      <w:kern w:val="2"/>
      <w:sz w:val="21"/>
      <w:szCs w:val="24"/>
      <w:lang w:val="en-US" w:eastAsia="zh-CN" w:bidi="ar-SA"/>
    </w:rPr>
  </w:style>
  <w:style w:type="paragraph" w:styleId="9">
    <w:name w:val="No Spacing"/>
    <w:qFormat/>
    <w:uiPriority w:val="1"/>
    <w:pPr>
      <w:widowControl w:val="0"/>
    </w:pPr>
    <w:rPr>
      <w:rFonts w:ascii="宋体" w:hAnsi="宋体" w:eastAsia="宋体" w:cstheme="minorBidi"/>
      <w:kern w:val="2"/>
      <w:sz w:val="24"/>
      <w:szCs w:val="22"/>
      <w:lang w:val="en-US" w:eastAsia="zh-CN" w:bidi="ar-SA"/>
    </w:rPr>
  </w:style>
  <w:style w:type="paragraph" w:customStyle="1" w:styleId="10">
    <w:name w:val="正文缩进2"/>
    <w:basedOn w:val="1"/>
    <w:qFormat/>
    <w:uiPriority w:val="0"/>
    <w:pPr>
      <w:wordWrap w:val="0"/>
      <w:ind w:firstLine="480"/>
    </w:pPr>
    <w:rPr>
      <w:iCs/>
      <w:shd w:val="clear" w:color="auto" w:fill="FFFFFF" w:themeFill="background1"/>
      <w:lang w:val="zh-CN"/>
    </w:rPr>
  </w:style>
  <w:style w:type="paragraph" w:styleId="11">
    <w:name w:val="List Paragraph"/>
    <w:basedOn w:val="1"/>
    <w:autoRedefine/>
    <w:qFormat/>
    <w:uiPriority w:val="34"/>
    <w:pPr>
      <w:numPr>
        <w:ilvl w:val="0"/>
        <w:numId w:val="1"/>
      </w:numPr>
    </w:pPr>
  </w:style>
  <w:style w:type="paragraph" w:customStyle="1" w:styleId="12">
    <w:name w:val="_Style 13"/>
    <w:qFormat/>
    <w:uiPriority w:val="0"/>
    <w:pPr>
      <w:spacing w:before="120" w:after="120" w:line="288" w:lineRule="auto"/>
      <w:ind w:left="0"/>
      <w:jc w:val="left"/>
    </w:pPr>
    <w:rPr>
      <w:rFonts w:ascii="Arial" w:hAnsi="Arial" w:eastAsia="等线" w:cs="Arial"/>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2567</Words>
  <Characters>2784</Characters>
  <Lines>0</Lines>
  <Paragraphs>0</Paragraphs>
  <TotalTime>0</TotalTime>
  <ScaleCrop>false</ScaleCrop>
  <LinksUpToDate>false</LinksUpToDate>
  <CharactersWithSpaces>2879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2025-12-02T00:37:00Z</dcterms:created>
  <dc:creator>哈哈</dc:creator>
  <cp:lastModifiedBy>哈哈</cp:lastModifiedBy>
  <dcterms:modified xsi:type="dcterms:W3CDTF">2025-12-03T06:40:59Z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1DAAADB855A54DF2A82C8136634A74FF_11</vt:lpwstr>
  </property>
  <property fmtid="{D5CDD505-2E9C-101B-9397-08002B2CF9AE}" pid="4" name="KSOTemplateDocerSaveRecord">
    <vt:lpwstr>eyJoZGlkIjoiNzlhNjFhY2EzZTNhMGQxODkxYmY3NjExZjg0ZWNhNjUiLCJ1c2VySWQiOiIzODU4Nzg5MTIifQ==</vt:lpwstr>
  </property>
</Properties>
</file>