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0E472B">
      <w:pPr>
        <w:spacing w:line="360" w:lineRule="auto"/>
        <w:ind w:firstLine="482" w:firstLineChars="200"/>
        <w:rPr>
          <w:rFonts w:hint="eastAsia" w:ascii="宋体" w:hAnsi="宋体" w:cs="宋体"/>
          <w:b/>
          <w:bCs/>
          <w:sz w:val="24"/>
          <w:highlight w:val="none"/>
          <w:lang w:val="en-US" w:eastAsia="zh-CN"/>
        </w:rPr>
      </w:pPr>
      <w:r>
        <w:rPr>
          <w:rFonts w:hint="eastAsia" w:ascii="宋体" w:hAnsi="宋体" w:cs="宋体"/>
          <w:b/>
          <w:bCs/>
          <w:sz w:val="24"/>
          <w:highlight w:val="none"/>
          <w:lang w:val="en-US" w:eastAsia="zh-CN"/>
        </w:rPr>
        <w:t>附件：</w:t>
      </w:r>
    </w:p>
    <w:p w14:paraId="100206B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lang w:val="hr-HR"/>
        </w:rPr>
      </w:pPr>
      <w:r>
        <w:rPr>
          <w:rStyle w:val="8"/>
          <w:rFonts w:hint="eastAsia" w:ascii="宋体" w:hAnsi="宋体"/>
          <w:sz w:val="24"/>
          <w:szCs w:val="24"/>
          <w:highlight w:val="none"/>
          <w:lang w:val="hr-HR"/>
        </w:rPr>
        <w:t>1.</w:t>
      </w:r>
      <w:r>
        <w:rPr>
          <w:rStyle w:val="8"/>
          <w:rFonts w:hint="eastAsia" w:ascii="宋体" w:hAnsi="宋体"/>
          <w:sz w:val="24"/>
          <w:szCs w:val="24"/>
          <w:highlight w:val="none"/>
        </w:rPr>
        <w:t>采购计划备案号：</w:t>
      </w:r>
      <w:bookmarkStart w:id="0" w:name="_Hlk162011340"/>
      <w:r>
        <w:rPr>
          <w:rStyle w:val="8"/>
          <w:rFonts w:hint="eastAsia" w:ascii="宋体" w:hAnsi="宋体"/>
          <w:sz w:val="24"/>
          <w:szCs w:val="24"/>
          <w:highlight w:val="none"/>
          <w:lang w:eastAsia="zh-CN"/>
        </w:rPr>
        <w:t>421182-2025-00305</w:t>
      </w:r>
      <w:r>
        <w:rPr>
          <w:rStyle w:val="8"/>
          <w:rFonts w:hint="eastAsia" w:ascii="宋体" w:hAnsi="宋体"/>
          <w:sz w:val="24"/>
          <w:szCs w:val="24"/>
          <w:highlight w:val="none"/>
        </w:rPr>
        <w:t xml:space="preserve">     </w:t>
      </w:r>
      <w:r>
        <w:rPr>
          <w:rStyle w:val="8"/>
          <w:rFonts w:hint="eastAsia" w:ascii="宋体" w:hAnsi="宋体"/>
          <w:sz w:val="24"/>
          <w:szCs w:val="24"/>
          <w:highlight w:val="none"/>
          <w:lang w:val="hr-HR"/>
        </w:rPr>
        <w:t xml:space="preserve"> </w:t>
      </w:r>
      <w:bookmarkEnd w:id="0"/>
    </w:p>
    <w:p w14:paraId="5F48CFE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lang w:val="en-US" w:eastAsia="zh-CN"/>
        </w:rPr>
      </w:pPr>
      <w:r>
        <w:rPr>
          <w:rStyle w:val="8"/>
          <w:rFonts w:hint="eastAsia" w:ascii="宋体" w:hAnsi="宋体"/>
          <w:sz w:val="24"/>
          <w:szCs w:val="24"/>
          <w:highlight w:val="none"/>
        </w:rPr>
        <w:t>2.</w:t>
      </w:r>
      <w:r>
        <w:rPr>
          <w:rStyle w:val="8"/>
          <w:rFonts w:hint="eastAsia" w:ascii="宋体" w:hAnsi="宋体"/>
          <w:sz w:val="24"/>
          <w:szCs w:val="24"/>
          <w:highlight w:val="none"/>
          <w:lang w:val="hr-HR"/>
        </w:rPr>
        <w:t>项目编号：</w:t>
      </w:r>
      <w:r>
        <w:rPr>
          <w:rStyle w:val="8"/>
          <w:rFonts w:hint="eastAsia" w:ascii="宋体" w:hAnsi="宋体"/>
          <w:sz w:val="24"/>
          <w:szCs w:val="24"/>
          <w:highlight w:val="none"/>
          <w:lang w:val="en-US" w:eastAsia="zh-CN"/>
        </w:rPr>
        <w:t>25CG</w:t>
      </w:r>
      <w:r>
        <w:rPr>
          <w:rStyle w:val="8"/>
          <w:rFonts w:hint="eastAsia" w:ascii="宋体" w:hAnsi="宋体"/>
          <w:sz w:val="24"/>
          <w:szCs w:val="24"/>
          <w:highlight w:val="none"/>
        </w:rPr>
        <w:t xml:space="preserve">           </w:t>
      </w:r>
      <w:r>
        <w:rPr>
          <w:rStyle w:val="8"/>
          <w:rFonts w:hint="eastAsia" w:ascii="宋体" w:hAnsi="宋体"/>
          <w:sz w:val="24"/>
          <w:szCs w:val="24"/>
          <w:highlight w:val="none"/>
          <w:lang w:val="hr-HR"/>
        </w:rPr>
        <w:t xml:space="preserve"> </w:t>
      </w:r>
      <w:r>
        <w:rPr>
          <w:rStyle w:val="8"/>
          <w:rFonts w:hint="eastAsia" w:ascii="宋体" w:hAnsi="宋体"/>
          <w:sz w:val="24"/>
          <w:szCs w:val="24"/>
          <w:highlight w:val="none"/>
          <w:lang w:val="en-US" w:eastAsia="zh-CN"/>
        </w:rPr>
        <w:t xml:space="preserve">       </w:t>
      </w:r>
    </w:p>
    <w:p w14:paraId="203F89A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lang w:val="hr-HR"/>
        </w:rPr>
      </w:pPr>
      <w:r>
        <w:rPr>
          <w:rStyle w:val="8"/>
          <w:rFonts w:hint="eastAsia" w:ascii="宋体" w:hAnsi="宋体"/>
          <w:sz w:val="24"/>
          <w:szCs w:val="24"/>
          <w:highlight w:val="none"/>
          <w:lang w:val="hr-HR"/>
        </w:rPr>
        <w:t>3.项目名称：</w:t>
      </w:r>
      <w:r>
        <w:rPr>
          <w:rStyle w:val="8"/>
          <w:rFonts w:hint="eastAsia" w:ascii="宋体" w:hAnsi="宋体"/>
          <w:sz w:val="24"/>
          <w:szCs w:val="24"/>
          <w:highlight w:val="none"/>
          <w:lang w:eastAsia="zh-CN"/>
        </w:rPr>
        <w:t>武穴市妇幼保健院购置腹腔镜设备采购</w:t>
      </w:r>
      <w:r>
        <w:rPr>
          <w:rStyle w:val="8"/>
          <w:rFonts w:hint="eastAsia" w:ascii="宋体" w:hAnsi="宋体"/>
          <w:sz w:val="24"/>
          <w:szCs w:val="24"/>
          <w:highlight w:val="none"/>
          <w:lang w:val="hr-HR"/>
        </w:rPr>
        <w:t xml:space="preserve"> </w:t>
      </w:r>
    </w:p>
    <w:p w14:paraId="5890898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lang w:val="hr-HR"/>
        </w:rPr>
      </w:pPr>
      <w:r>
        <w:rPr>
          <w:rStyle w:val="8"/>
          <w:rFonts w:hint="eastAsia" w:ascii="宋体" w:hAnsi="宋体"/>
          <w:sz w:val="24"/>
          <w:szCs w:val="24"/>
          <w:highlight w:val="none"/>
        </w:rPr>
        <w:t>4.采购方式：公开招标</w:t>
      </w:r>
    </w:p>
    <w:p w14:paraId="0548F35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lang w:val="hr-HR"/>
        </w:rPr>
      </w:pPr>
      <w:r>
        <w:rPr>
          <w:rStyle w:val="8"/>
          <w:rFonts w:hint="eastAsia" w:ascii="宋体" w:hAnsi="宋体"/>
          <w:sz w:val="24"/>
          <w:szCs w:val="24"/>
          <w:highlight w:val="none"/>
        </w:rPr>
        <w:t>5</w:t>
      </w:r>
      <w:r>
        <w:rPr>
          <w:rStyle w:val="8"/>
          <w:rFonts w:hint="eastAsia" w:ascii="宋体" w:hAnsi="宋体"/>
          <w:sz w:val="24"/>
          <w:szCs w:val="24"/>
          <w:highlight w:val="none"/>
          <w:lang w:val="hr-HR"/>
        </w:rPr>
        <w:t>.预算金额：</w:t>
      </w:r>
      <w:r>
        <w:rPr>
          <w:rStyle w:val="8"/>
          <w:rFonts w:hint="eastAsia" w:ascii="宋体" w:hAnsi="宋体"/>
          <w:sz w:val="24"/>
          <w:szCs w:val="24"/>
          <w:highlight w:val="none"/>
          <w:lang w:val="en-US" w:eastAsia="zh-CN"/>
        </w:rPr>
        <w:t>103</w:t>
      </w:r>
      <w:r>
        <w:rPr>
          <w:rStyle w:val="8"/>
          <w:rFonts w:hint="eastAsia" w:ascii="宋体" w:hAnsi="宋体"/>
          <w:sz w:val="24"/>
          <w:szCs w:val="24"/>
          <w:highlight w:val="none"/>
          <w:lang w:val="hr-HR"/>
        </w:rPr>
        <w:t>万元</w:t>
      </w:r>
    </w:p>
    <w:p w14:paraId="349937F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lang w:val="hr-HR"/>
        </w:rPr>
      </w:pPr>
      <w:r>
        <w:rPr>
          <w:rStyle w:val="8"/>
          <w:rFonts w:hint="eastAsia" w:ascii="宋体" w:hAnsi="宋体"/>
          <w:sz w:val="24"/>
          <w:szCs w:val="24"/>
          <w:highlight w:val="none"/>
          <w:lang w:val="hr-HR"/>
        </w:rPr>
        <w:t>6.</w:t>
      </w:r>
      <w:r>
        <w:rPr>
          <w:rStyle w:val="8"/>
          <w:rFonts w:hint="eastAsia" w:ascii="宋体" w:hAnsi="宋体"/>
          <w:sz w:val="24"/>
          <w:szCs w:val="24"/>
          <w:highlight w:val="none"/>
        </w:rPr>
        <w:t>最高限价</w:t>
      </w:r>
      <w:r>
        <w:rPr>
          <w:rStyle w:val="8"/>
          <w:rFonts w:hint="eastAsia" w:ascii="宋体" w:hAnsi="宋体"/>
          <w:sz w:val="24"/>
          <w:szCs w:val="24"/>
          <w:highlight w:val="none"/>
          <w:lang w:val="hr-HR"/>
        </w:rPr>
        <w:t>：</w:t>
      </w:r>
      <w:r>
        <w:rPr>
          <w:rStyle w:val="8"/>
          <w:rFonts w:hint="eastAsia" w:ascii="宋体" w:hAnsi="宋体"/>
          <w:sz w:val="24"/>
          <w:szCs w:val="24"/>
          <w:highlight w:val="none"/>
          <w:lang w:val="en-US" w:eastAsia="zh-CN"/>
        </w:rPr>
        <w:t>100.94</w:t>
      </w:r>
      <w:r>
        <w:rPr>
          <w:rStyle w:val="8"/>
          <w:rFonts w:hint="eastAsia" w:ascii="宋体" w:hAnsi="宋体"/>
          <w:sz w:val="24"/>
          <w:szCs w:val="24"/>
          <w:highlight w:val="none"/>
        </w:rPr>
        <w:t>万元</w:t>
      </w:r>
    </w:p>
    <w:p w14:paraId="07C1CCC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lang w:val="hr-HR" w:eastAsia="zh-CN"/>
        </w:rPr>
      </w:pPr>
      <w:r>
        <w:rPr>
          <w:rStyle w:val="8"/>
          <w:rFonts w:hint="eastAsia" w:ascii="宋体" w:hAnsi="宋体"/>
          <w:sz w:val="24"/>
          <w:szCs w:val="24"/>
          <w:highlight w:val="none"/>
        </w:rPr>
        <w:t>7</w:t>
      </w:r>
      <w:r>
        <w:rPr>
          <w:rStyle w:val="8"/>
          <w:rFonts w:hint="eastAsia" w:ascii="宋体" w:hAnsi="宋体"/>
          <w:sz w:val="24"/>
          <w:szCs w:val="24"/>
          <w:highlight w:val="none"/>
          <w:lang w:val="hr-HR"/>
        </w:rPr>
        <w:t>.采购需求：</w:t>
      </w:r>
      <w:r>
        <w:rPr>
          <w:rStyle w:val="8"/>
          <w:rFonts w:hint="eastAsia" w:ascii="宋体" w:hAnsi="宋体"/>
          <w:sz w:val="24"/>
          <w:szCs w:val="24"/>
          <w:highlight w:val="none"/>
          <w:lang w:eastAsia="zh-CN"/>
        </w:rPr>
        <w:t>武穴市妇幼保健院购置腹腔镜设备</w:t>
      </w:r>
      <w:r>
        <w:rPr>
          <w:rStyle w:val="8"/>
          <w:rFonts w:hint="eastAsia" w:ascii="宋体" w:hAnsi="宋体"/>
          <w:sz w:val="24"/>
          <w:szCs w:val="24"/>
          <w:highlight w:val="none"/>
          <w:lang w:val="en-US" w:eastAsia="zh-CN"/>
        </w:rPr>
        <w:t>，</w:t>
      </w:r>
      <w:r>
        <w:rPr>
          <w:rStyle w:val="8"/>
          <w:rFonts w:hint="eastAsia" w:ascii="宋体" w:hAnsi="宋体"/>
          <w:sz w:val="24"/>
          <w:szCs w:val="24"/>
          <w:highlight w:val="none"/>
          <w:lang w:val="hr-HR" w:eastAsia="zh-CN"/>
        </w:rPr>
        <w:t>此项目包含货物的供应、生产、采购、运输、检验、安装、售后服务及培训等全部相关工作），详见</w:t>
      </w:r>
      <w:r>
        <w:rPr>
          <w:rStyle w:val="8"/>
          <w:rFonts w:hint="eastAsia" w:ascii="宋体" w:hAnsi="宋体"/>
          <w:sz w:val="24"/>
          <w:szCs w:val="24"/>
          <w:highlight w:val="none"/>
          <w:lang w:val="en-US" w:eastAsia="zh-CN"/>
        </w:rPr>
        <w:t>招标</w:t>
      </w:r>
      <w:r>
        <w:rPr>
          <w:rStyle w:val="8"/>
          <w:rFonts w:hint="eastAsia" w:ascii="宋体" w:hAnsi="宋体"/>
          <w:sz w:val="24"/>
          <w:szCs w:val="24"/>
          <w:highlight w:val="none"/>
          <w:lang w:val="hr-HR" w:eastAsia="zh-CN"/>
        </w:rPr>
        <w:t>文件第三章。</w:t>
      </w:r>
    </w:p>
    <w:p w14:paraId="0742F4A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8.合同履行期限：签订合同之日起7日历天完成。</w:t>
      </w:r>
      <w:r>
        <w:rPr>
          <w:rStyle w:val="8"/>
          <w:rFonts w:hint="eastAsia" w:ascii="宋体" w:hAnsi="宋体"/>
          <w:sz w:val="24"/>
          <w:szCs w:val="24"/>
          <w:highlight w:val="none"/>
          <w:lang w:val="hr-HR"/>
        </w:rPr>
        <w:t xml:space="preserve"> </w:t>
      </w:r>
    </w:p>
    <w:p w14:paraId="22A61C9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bookmarkStart w:id="1" w:name="_Toc35393799"/>
      <w:bookmarkStart w:id="2" w:name="_Toc28359013"/>
      <w:bookmarkStart w:id="3" w:name="_Toc28359090"/>
      <w:bookmarkStart w:id="4" w:name="_Toc44583629"/>
      <w:bookmarkStart w:id="5" w:name="_Toc35393630"/>
      <w:r>
        <w:rPr>
          <w:rStyle w:val="8"/>
          <w:rFonts w:hint="eastAsia" w:ascii="宋体" w:hAnsi="宋体"/>
          <w:sz w:val="24"/>
          <w:szCs w:val="24"/>
          <w:highlight w:val="none"/>
        </w:rPr>
        <w:t>9.</w:t>
      </w:r>
      <w:bookmarkStart w:id="6" w:name="_Hlk162011358"/>
      <w:r>
        <w:rPr>
          <w:rStyle w:val="8"/>
          <w:rFonts w:hint="eastAsia" w:ascii="宋体" w:hAnsi="宋体"/>
          <w:sz w:val="24"/>
          <w:szCs w:val="24"/>
          <w:highlight w:val="none"/>
        </w:rPr>
        <w:t>接受联合体投标：否</w:t>
      </w:r>
      <w:bookmarkEnd w:id="6"/>
    </w:p>
    <w:p w14:paraId="4366878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bookmarkStart w:id="7" w:name="_Toc109899411"/>
      <w:bookmarkStart w:id="8" w:name="_Toc155185861"/>
      <w:bookmarkStart w:id="9" w:name="_Toc109899830"/>
      <w:bookmarkStart w:id="10" w:name="_Toc140132746"/>
      <w:bookmarkStart w:id="11" w:name="_Toc109900249"/>
      <w:bookmarkStart w:id="12" w:name="_Toc7573"/>
      <w:r>
        <w:rPr>
          <w:rStyle w:val="8"/>
          <w:rFonts w:hint="eastAsia" w:ascii="宋体" w:hAnsi="宋体"/>
          <w:sz w:val="24"/>
          <w:szCs w:val="24"/>
          <w:highlight w:val="none"/>
        </w:rPr>
        <w:t>投标人</w:t>
      </w:r>
      <w:r>
        <w:rPr>
          <w:rStyle w:val="8"/>
          <w:rFonts w:hint="eastAsia" w:ascii="宋体" w:hAnsi="宋体"/>
          <w:sz w:val="24"/>
          <w:szCs w:val="24"/>
          <w:highlight w:val="none"/>
          <w:lang w:val="hr-HR"/>
        </w:rPr>
        <w:t>资格要求</w:t>
      </w:r>
      <w:bookmarkEnd w:id="1"/>
      <w:bookmarkEnd w:id="2"/>
      <w:bookmarkEnd w:id="3"/>
      <w:bookmarkEnd w:id="4"/>
      <w:bookmarkEnd w:id="5"/>
      <w:bookmarkEnd w:id="7"/>
      <w:bookmarkEnd w:id="8"/>
      <w:bookmarkEnd w:id="9"/>
      <w:bookmarkEnd w:id="10"/>
      <w:bookmarkEnd w:id="11"/>
      <w:bookmarkEnd w:id="12"/>
    </w:p>
    <w:p w14:paraId="42476FD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1.满足《中华人民共和国政府采购法》第二十二条规定，即：</w:t>
      </w:r>
    </w:p>
    <w:p w14:paraId="5A63168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具有独立承担民事责任的能力；</w:t>
      </w:r>
    </w:p>
    <w:p w14:paraId="2F28F9D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具有良好的商业信誉和健全的财务会计制度；</w:t>
      </w:r>
    </w:p>
    <w:p w14:paraId="0B7A8F7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具有履行合同所必需的设备和专业技术能力；</w:t>
      </w:r>
    </w:p>
    <w:p w14:paraId="49DDAFA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有依法缴纳税收和社会保障资金的良好记录；</w:t>
      </w:r>
    </w:p>
    <w:p w14:paraId="776FD8B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参加政府采购活动前三年内，在经营活动中没有重大违法记录；</w:t>
      </w:r>
    </w:p>
    <w:p w14:paraId="6E65687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法律、行政法规规定的其他条件。</w:t>
      </w:r>
    </w:p>
    <w:p w14:paraId="204AABB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2.未被列入失信被执行人、“重大税收违法失信主体”，未被列入政府采购严重违法失信行为记录名单。</w:t>
      </w:r>
    </w:p>
    <w:p w14:paraId="1D95287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3、为本采购项目提供整体设计、规范编制或者项目管理、监理、检测等服务的，不得再参加本项目的其他招标采购活动。</w:t>
      </w:r>
    </w:p>
    <w:p w14:paraId="0261734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4、未被列入失信被执行人、重大税收违法失信主体，未被列入政府采购严重违法失信行为记录名单。</w:t>
      </w:r>
    </w:p>
    <w:p w14:paraId="57B57FB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5、落实政府采购政策需满足的资格要求：</w:t>
      </w:r>
    </w:p>
    <w:p w14:paraId="02A7CC1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（1）政府采购促进中小企业发展政策；</w:t>
      </w:r>
      <w:r>
        <w:rPr>
          <w:rStyle w:val="8"/>
          <w:rFonts w:hint="eastAsia" w:ascii="宋体" w:hAnsi="宋体"/>
          <w:sz w:val="24"/>
          <w:szCs w:val="24"/>
          <w:highlight w:val="none"/>
        </w:rPr>
        <w:br w:type="textWrapping"/>
      </w:r>
      <w:r>
        <w:rPr>
          <w:rStyle w:val="8"/>
          <w:rFonts w:hint="eastAsia" w:ascii="宋体" w:hAnsi="宋体"/>
          <w:sz w:val="24"/>
          <w:szCs w:val="24"/>
          <w:highlight w:val="none"/>
        </w:rPr>
        <w:t>（2）政府采购强制、优先采购节能产品政策；</w:t>
      </w:r>
      <w:r>
        <w:rPr>
          <w:rStyle w:val="8"/>
          <w:rFonts w:hint="eastAsia" w:ascii="宋体" w:hAnsi="宋体"/>
          <w:sz w:val="24"/>
          <w:szCs w:val="24"/>
          <w:highlight w:val="none"/>
        </w:rPr>
        <w:br w:type="textWrapping"/>
      </w:r>
      <w:r>
        <w:rPr>
          <w:rStyle w:val="8"/>
          <w:rFonts w:hint="eastAsia" w:ascii="宋体" w:hAnsi="宋体"/>
          <w:sz w:val="24"/>
          <w:szCs w:val="24"/>
          <w:highlight w:val="none"/>
        </w:rPr>
        <w:t>（3）政府采购优先采购环保产品政策；</w:t>
      </w:r>
      <w:r>
        <w:rPr>
          <w:rStyle w:val="8"/>
          <w:rFonts w:hint="eastAsia" w:ascii="宋体" w:hAnsi="宋体"/>
          <w:sz w:val="24"/>
          <w:szCs w:val="24"/>
          <w:highlight w:val="none"/>
        </w:rPr>
        <w:br w:type="textWrapping"/>
      </w:r>
      <w:r>
        <w:rPr>
          <w:rStyle w:val="8"/>
          <w:rFonts w:hint="eastAsia" w:ascii="宋体" w:hAnsi="宋体"/>
          <w:sz w:val="24"/>
          <w:szCs w:val="24"/>
          <w:highlight w:val="none"/>
        </w:rPr>
        <w:t>（4）政府采购支持监狱企业发展政策；</w:t>
      </w:r>
      <w:r>
        <w:rPr>
          <w:rStyle w:val="8"/>
          <w:rFonts w:hint="eastAsia" w:ascii="宋体" w:hAnsi="宋体"/>
          <w:sz w:val="24"/>
          <w:szCs w:val="24"/>
          <w:highlight w:val="none"/>
        </w:rPr>
        <w:br w:type="textWrapping"/>
      </w:r>
      <w:r>
        <w:rPr>
          <w:rStyle w:val="8"/>
          <w:rFonts w:hint="eastAsia" w:ascii="宋体" w:hAnsi="宋体"/>
          <w:sz w:val="24"/>
          <w:szCs w:val="24"/>
          <w:highlight w:val="none"/>
        </w:rPr>
        <w:t>（5）政府采购支持残疾人福利性单位。</w:t>
      </w:r>
    </w:p>
    <w:p w14:paraId="576E8AF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6、特定资格要求：</w:t>
      </w:r>
    </w:p>
    <w:p w14:paraId="0F48E6D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w:t>
      </w:r>
      <w:r>
        <w:rPr>
          <w:rStyle w:val="8"/>
          <w:rFonts w:hint="eastAsia" w:ascii="宋体" w:hAnsi="宋体"/>
          <w:sz w:val="24"/>
          <w:szCs w:val="24"/>
          <w:highlight w:val="none"/>
          <w:lang w:val="en-US"/>
        </w:rPr>
        <w:t>1</w:t>
      </w:r>
      <w:r>
        <w:rPr>
          <w:rStyle w:val="8"/>
          <w:rFonts w:hint="eastAsia" w:ascii="宋体" w:hAnsi="宋体"/>
          <w:sz w:val="24"/>
          <w:szCs w:val="24"/>
          <w:highlight w:val="none"/>
        </w:rPr>
        <w:t>）有效营业执照（含企业法人、事业法人、个体工商户等合法经营证明文件）；</w:t>
      </w:r>
    </w:p>
    <w:p w14:paraId="198DC49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lang w:eastAsia="zh-CN"/>
        </w:rPr>
      </w:pPr>
      <w:r>
        <w:rPr>
          <w:rStyle w:val="8"/>
          <w:rFonts w:hint="eastAsia" w:ascii="宋体" w:hAnsi="宋体"/>
          <w:sz w:val="24"/>
          <w:szCs w:val="24"/>
          <w:highlight w:val="none"/>
        </w:rPr>
        <w:t>（</w:t>
      </w:r>
      <w:r>
        <w:rPr>
          <w:rStyle w:val="8"/>
          <w:rFonts w:hint="eastAsia" w:ascii="宋体" w:hAnsi="宋体"/>
          <w:sz w:val="24"/>
          <w:szCs w:val="24"/>
          <w:highlight w:val="none"/>
          <w:lang w:val="en-US"/>
        </w:rPr>
        <w:t>2</w:t>
      </w:r>
      <w:r>
        <w:rPr>
          <w:rStyle w:val="8"/>
          <w:rFonts w:hint="eastAsia" w:ascii="宋体" w:hAnsi="宋体"/>
          <w:sz w:val="24"/>
          <w:szCs w:val="24"/>
          <w:highlight w:val="none"/>
        </w:rPr>
        <w:t>）供应商所投产品属于三类医疗器械的，投标供应商须具备《医疗器械生产许可证》或《医疗器械经营许可证》，供应商所投产品属于二类及以上医疗器械的，所投产品须具备《医疗器械注册证》，国家另有规定的从其规定</w:t>
      </w:r>
      <w:r>
        <w:rPr>
          <w:rStyle w:val="8"/>
          <w:rFonts w:hint="eastAsia" w:ascii="宋体" w:hAnsi="宋体"/>
          <w:sz w:val="24"/>
          <w:szCs w:val="24"/>
          <w:highlight w:val="none"/>
          <w:lang w:eastAsia="zh-CN"/>
        </w:rPr>
        <w:t>。</w:t>
      </w:r>
    </w:p>
    <w:p w14:paraId="061796F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以上资格要求为本次招标投标人应具备的基本条件，参加投标的投标人必须满足资格要求中对应的所有条款，并按照相关规定递交资格证明文件。</w:t>
      </w:r>
    </w:p>
    <w:p w14:paraId="58EADA0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p>
    <w:p w14:paraId="6EE0915C">
      <w:pPr>
        <w:rPr>
          <w:rStyle w:val="8"/>
          <w:rFonts w:hint="eastAsia" w:ascii="宋体" w:hAnsi="宋体"/>
          <w:sz w:val="24"/>
          <w:szCs w:val="24"/>
          <w:highlight w:val="none"/>
        </w:rPr>
      </w:pPr>
      <w:r>
        <w:rPr>
          <w:rStyle w:val="8"/>
          <w:rFonts w:hint="eastAsia" w:ascii="宋体" w:hAnsi="宋体"/>
          <w:sz w:val="24"/>
          <w:szCs w:val="24"/>
          <w:highlight w:val="none"/>
        </w:rPr>
        <w:br w:type="page"/>
      </w:r>
    </w:p>
    <w:p w14:paraId="4EE3C762">
      <w:pPr>
        <w:pStyle w:val="2"/>
        <w:spacing w:before="0" w:after="0" w:line="360" w:lineRule="auto"/>
        <w:ind w:left="24" w:right="24" w:firstLine="640"/>
        <w:jc w:val="center"/>
        <w:rPr>
          <w:rFonts w:hint="default" w:ascii="黑体" w:hAnsi="黑体" w:eastAsia="黑体" w:cs="黑体"/>
          <w:b w:val="0"/>
          <w:bCs/>
          <w:sz w:val="32"/>
          <w:szCs w:val="32"/>
          <w:highlight w:val="none"/>
        </w:rPr>
      </w:pPr>
      <w:bookmarkStart w:id="13" w:name="_Toc3910"/>
      <w:r>
        <w:rPr>
          <w:rFonts w:ascii="黑体" w:hAnsi="黑体" w:eastAsia="黑体" w:cs="黑体"/>
          <w:b w:val="0"/>
          <w:bCs/>
          <w:sz w:val="32"/>
          <w:szCs w:val="32"/>
          <w:highlight w:val="none"/>
        </w:rPr>
        <w:t>第三章 项目采购需求</w:t>
      </w:r>
      <w:bookmarkEnd w:id="13"/>
      <w:bookmarkStart w:id="14" w:name="_Toc535832547"/>
      <w:bookmarkStart w:id="15" w:name="_Toc162164501"/>
    </w:p>
    <w:bookmarkEnd w:id="14"/>
    <w:bookmarkEnd w:id="15"/>
    <w:p w14:paraId="3A1191C4">
      <w:pPr>
        <w:numPr>
          <w:ilvl w:val="0"/>
          <w:numId w:val="2"/>
        </w:numPr>
        <w:jc w:val="left"/>
        <w:rPr>
          <w:rFonts w:hint="eastAsia" w:eastAsia="宋体" w:asciiTheme="majorHAnsi" w:hAnsiTheme="majorHAnsi" w:cstheme="majorBidi"/>
          <w:b/>
          <w:bCs/>
          <w:kern w:val="2"/>
          <w:sz w:val="32"/>
          <w:szCs w:val="32"/>
          <w:lang w:val="en-US" w:eastAsia="zh-CN" w:bidi="ar-SA"/>
        </w:rPr>
      </w:pPr>
      <w:r>
        <w:rPr>
          <w:rFonts w:hint="eastAsia" w:eastAsia="宋体" w:asciiTheme="majorHAnsi" w:hAnsiTheme="majorHAnsi" w:cstheme="majorBidi"/>
          <w:b/>
          <w:bCs/>
          <w:kern w:val="2"/>
          <w:sz w:val="32"/>
          <w:szCs w:val="32"/>
          <w:lang w:val="en-US" w:eastAsia="zh-CN" w:bidi="ar-SA"/>
        </w:rPr>
        <w:t>采购清单</w:t>
      </w:r>
    </w:p>
    <w:tbl>
      <w:tblPr>
        <w:tblStyle w:val="6"/>
        <w:tblW w:w="8340" w:type="dxa"/>
        <w:tblInd w:w="-28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9"/>
        <w:gridCol w:w="2600"/>
        <w:gridCol w:w="810"/>
        <w:gridCol w:w="1033"/>
        <w:gridCol w:w="1340"/>
        <w:gridCol w:w="1798"/>
      </w:tblGrid>
      <w:tr w14:paraId="46B43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759" w:type="dxa"/>
            <w:noWrap w:val="0"/>
            <w:vAlign w:val="top"/>
          </w:tcPr>
          <w:p w14:paraId="07AB8A7F">
            <w:pPr>
              <w:numPr>
                <w:ilvl w:val="0"/>
                <w:numId w:val="0"/>
              </w:numPr>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序号</w:t>
            </w:r>
          </w:p>
        </w:tc>
        <w:tc>
          <w:tcPr>
            <w:tcW w:w="2600" w:type="dxa"/>
            <w:noWrap w:val="0"/>
            <w:vAlign w:val="top"/>
          </w:tcPr>
          <w:p w14:paraId="302BB2EC">
            <w:pPr>
              <w:numPr>
                <w:ilvl w:val="0"/>
                <w:numId w:val="0"/>
              </w:numPr>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产品名称</w:t>
            </w:r>
          </w:p>
        </w:tc>
        <w:tc>
          <w:tcPr>
            <w:tcW w:w="810" w:type="dxa"/>
            <w:noWrap w:val="0"/>
            <w:vAlign w:val="top"/>
          </w:tcPr>
          <w:p w14:paraId="1F54A251">
            <w:pPr>
              <w:numPr>
                <w:ilvl w:val="0"/>
                <w:numId w:val="0"/>
              </w:numPr>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数量</w:t>
            </w:r>
          </w:p>
        </w:tc>
        <w:tc>
          <w:tcPr>
            <w:tcW w:w="1033" w:type="dxa"/>
            <w:noWrap w:val="0"/>
            <w:vAlign w:val="top"/>
          </w:tcPr>
          <w:p w14:paraId="7959B0BB">
            <w:pPr>
              <w:numPr>
                <w:ilvl w:val="0"/>
                <w:numId w:val="0"/>
              </w:numPr>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单位</w:t>
            </w:r>
          </w:p>
        </w:tc>
        <w:tc>
          <w:tcPr>
            <w:tcW w:w="1340" w:type="dxa"/>
            <w:noWrap w:val="0"/>
            <w:vAlign w:val="top"/>
          </w:tcPr>
          <w:p w14:paraId="592A15D9">
            <w:pPr>
              <w:numPr>
                <w:ilvl w:val="0"/>
                <w:numId w:val="0"/>
              </w:numPr>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所属行业</w:t>
            </w:r>
          </w:p>
        </w:tc>
        <w:tc>
          <w:tcPr>
            <w:tcW w:w="1798" w:type="dxa"/>
            <w:noWrap w:val="0"/>
            <w:vAlign w:val="top"/>
          </w:tcPr>
          <w:p w14:paraId="68801853">
            <w:pPr>
              <w:numPr>
                <w:ilvl w:val="0"/>
                <w:numId w:val="0"/>
              </w:numPr>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要求/备注</w:t>
            </w:r>
          </w:p>
        </w:tc>
      </w:tr>
      <w:tr w14:paraId="02B28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759" w:type="dxa"/>
            <w:noWrap w:val="0"/>
            <w:vAlign w:val="top"/>
          </w:tcPr>
          <w:p w14:paraId="649EDE9E">
            <w:pPr>
              <w:numPr>
                <w:ilvl w:val="0"/>
                <w:numId w:val="0"/>
              </w:numPr>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1</w:t>
            </w:r>
          </w:p>
        </w:tc>
        <w:tc>
          <w:tcPr>
            <w:tcW w:w="2600" w:type="dxa"/>
            <w:noWrap w:val="0"/>
            <w:vAlign w:val="top"/>
          </w:tcPr>
          <w:p w14:paraId="3596C6F3">
            <w:pPr>
              <w:numPr>
                <w:ilvl w:val="0"/>
                <w:numId w:val="0"/>
              </w:numPr>
              <w:jc w:val="center"/>
              <w:rPr>
                <w:rFonts w:hint="default" w:ascii="宋体" w:hAnsi="宋体" w:cs="宋体"/>
                <w:sz w:val="24"/>
                <w:szCs w:val="24"/>
                <w:vertAlign w:val="baseline"/>
                <w:lang w:val="en-US" w:eastAsia="zh-CN"/>
              </w:rPr>
            </w:pPr>
            <w:r>
              <w:rPr>
                <w:rFonts w:hint="default" w:ascii="宋体" w:hAnsi="宋体" w:cs="宋体"/>
                <w:sz w:val="24"/>
                <w:szCs w:val="24"/>
                <w:vertAlign w:val="baseline"/>
                <w:lang w:val="en-US" w:eastAsia="zh-CN"/>
              </w:rPr>
              <w:t>腹腔镜</w:t>
            </w:r>
          </w:p>
        </w:tc>
        <w:tc>
          <w:tcPr>
            <w:tcW w:w="810" w:type="dxa"/>
            <w:noWrap w:val="0"/>
            <w:vAlign w:val="top"/>
          </w:tcPr>
          <w:p w14:paraId="1F143A5B">
            <w:pPr>
              <w:numPr>
                <w:ilvl w:val="0"/>
                <w:numId w:val="0"/>
              </w:numPr>
              <w:jc w:val="center"/>
              <w:rPr>
                <w:rFonts w:hint="default" w:ascii="宋体" w:hAnsi="宋体" w:cs="宋体"/>
                <w:sz w:val="24"/>
                <w:szCs w:val="24"/>
                <w:vertAlign w:val="baseline"/>
                <w:lang w:val="en-US" w:eastAsia="zh-CN"/>
              </w:rPr>
            </w:pPr>
            <w:r>
              <w:rPr>
                <w:rFonts w:hint="eastAsia" w:cs="宋体"/>
                <w:sz w:val="24"/>
                <w:szCs w:val="24"/>
                <w:vertAlign w:val="baseline"/>
                <w:lang w:val="en-US" w:eastAsia="zh-CN"/>
              </w:rPr>
              <w:t>1</w:t>
            </w:r>
          </w:p>
        </w:tc>
        <w:tc>
          <w:tcPr>
            <w:tcW w:w="1033" w:type="dxa"/>
            <w:noWrap w:val="0"/>
            <w:vAlign w:val="top"/>
          </w:tcPr>
          <w:p w14:paraId="09FBD8A6">
            <w:pPr>
              <w:numPr>
                <w:ilvl w:val="0"/>
                <w:numId w:val="0"/>
              </w:numPr>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台</w:t>
            </w:r>
          </w:p>
        </w:tc>
        <w:tc>
          <w:tcPr>
            <w:tcW w:w="1340" w:type="dxa"/>
            <w:noWrap w:val="0"/>
            <w:vAlign w:val="top"/>
          </w:tcPr>
          <w:p w14:paraId="150DA129">
            <w:pPr>
              <w:numPr>
                <w:ilvl w:val="0"/>
                <w:numId w:val="0"/>
              </w:numPr>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工业</w:t>
            </w:r>
          </w:p>
        </w:tc>
        <w:tc>
          <w:tcPr>
            <w:tcW w:w="1798" w:type="dxa"/>
            <w:noWrap w:val="0"/>
            <w:vAlign w:val="top"/>
          </w:tcPr>
          <w:p w14:paraId="728DE1BD">
            <w:pPr>
              <w:numPr>
                <w:ilvl w:val="0"/>
                <w:numId w:val="0"/>
              </w:numPr>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w:t>
            </w:r>
          </w:p>
        </w:tc>
      </w:tr>
    </w:tbl>
    <w:p w14:paraId="4935B4B0">
      <w:pPr>
        <w:numPr>
          <w:ilvl w:val="0"/>
          <w:numId w:val="2"/>
        </w:numPr>
        <w:jc w:val="left"/>
        <w:rPr>
          <w:rFonts w:hint="eastAsia" w:eastAsia="宋体" w:asciiTheme="majorHAnsi" w:hAnsiTheme="majorHAnsi" w:cstheme="majorBidi"/>
          <w:b/>
          <w:bCs/>
          <w:kern w:val="2"/>
          <w:sz w:val="32"/>
          <w:szCs w:val="32"/>
          <w:lang w:val="en-US" w:eastAsia="zh-CN" w:bidi="ar-SA"/>
        </w:rPr>
      </w:pPr>
      <w:r>
        <w:rPr>
          <w:rFonts w:hint="eastAsia" w:eastAsia="宋体" w:asciiTheme="majorHAnsi" w:hAnsiTheme="majorHAnsi" w:cstheme="majorBidi"/>
          <w:b/>
          <w:bCs/>
          <w:kern w:val="2"/>
          <w:sz w:val="32"/>
          <w:szCs w:val="32"/>
          <w:lang w:val="en-US" w:eastAsia="zh-CN" w:bidi="ar-SA"/>
        </w:rPr>
        <w:t>技术要求</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2A4BB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397C248">
            <w:pPr>
              <w:pStyle w:val="4"/>
              <w:rPr>
                <w:rFonts w:hint="eastAsia" w:ascii="宋体" w:hAnsi="宋体" w:eastAsia="宋体" w:cs="宋体"/>
                <w:sz w:val="24"/>
                <w:szCs w:val="24"/>
              </w:rPr>
            </w:pPr>
            <w:r>
              <w:rPr>
                <w:rFonts w:hint="eastAsia" w:ascii="宋体" w:hAnsi="宋体" w:eastAsia="宋体" w:cs="宋体"/>
                <w:sz w:val="24"/>
                <w:szCs w:val="24"/>
              </w:rPr>
              <w:t>一、4K 内窥镜摄像系统</w:t>
            </w:r>
          </w:p>
          <w:p w14:paraId="0D44E72F">
            <w:pPr>
              <w:pStyle w:val="12"/>
              <w:numPr>
                <w:ilvl w:val="0"/>
                <w:numId w:val="3"/>
              </w:numPr>
              <w:rPr>
                <w:rFonts w:hint="eastAsia" w:ascii="宋体" w:hAnsi="宋体" w:eastAsia="宋体" w:cs="宋体"/>
                <w:sz w:val="24"/>
                <w:szCs w:val="24"/>
              </w:rPr>
            </w:pPr>
            <w:r>
              <w:rPr>
                <w:rFonts w:hint="eastAsia" w:ascii="宋体" w:hAnsi="宋体" w:eastAsia="宋体" w:cs="宋体"/>
                <w:sz w:val="24"/>
                <w:szCs w:val="24"/>
              </w:rPr>
              <w:t>支持 BT.2020、BT.709 等主流色域标准，满足临床图像色彩还原需求；</w:t>
            </w:r>
          </w:p>
          <w:p w14:paraId="2CB6387A">
            <w:pPr>
              <w:pStyle w:val="12"/>
              <w:numPr>
                <w:ilvl w:val="0"/>
                <w:numId w:val="3"/>
              </w:numPr>
              <w:rPr>
                <w:rFonts w:hint="eastAsia" w:ascii="宋体" w:hAnsi="宋体" w:eastAsia="宋体" w:cs="宋体"/>
                <w:sz w:val="24"/>
                <w:szCs w:val="24"/>
              </w:rPr>
            </w:pPr>
            <w:r>
              <w:rPr>
                <w:rFonts w:hint="eastAsia" w:ascii="宋体" w:hAnsi="宋体" w:eastAsia="宋体" w:cs="宋体"/>
                <w:sz w:val="24"/>
                <w:szCs w:val="24"/>
              </w:rPr>
              <w:t>主机电击防护安全等级不低于 CF 型，符合医用电气安全标准；</w:t>
            </w:r>
          </w:p>
          <w:p w14:paraId="5FCEEDD0">
            <w:pPr>
              <w:pStyle w:val="12"/>
              <w:numPr>
                <w:ilvl w:val="0"/>
                <w:numId w:val="3"/>
              </w:numPr>
              <w:rPr>
                <w:rFonts w:hint="eastAsia" w:ascii="宋体" w:hAnsi="宋体" w:eastAsia="宋体" w:cs="宋体"/>
                <w:sz w:val="24"/>
                <w:szCs w:val="24"/>
              </w:rPr>
            </w:pPr>
            <w:r>
              <w:rPr>
                <w:rFonts w:hint="eastAsia" w:ascii="宋体" w:hAnsi="宋体" w:eastAsia="宋体" w:cs="宋体"/>
                <w:sz w:val="24"/>
                <w:szCs w:val="24"/>
              </w:rPr>
              <w:t>具备白平衡、图像冻结、截图、录像、场景模式、曝光调节、图像翻转 / 放大 / 增强等基础菜单控制功能，支持临床操作便捷性；</w:t>
            </w:r>
          </w:p>
          <w:p w14:paraId="36236677">
            <w:pPr>
              <w:pStyle w:val="12"/>
              <w:numPr>
                <w:ilvl w:val="0"/>
                <w:numId w:val="3"/>
              </w:numPr>
              <w:rPr>
                <w:rFonts w:hint="eastAsia" w:ascii="宋体" w:hAnsi="宋体" w:eastAsia="宋体" w:cs="宋体"/>
                <w:sz w:val="24"/>
                <w:szCs w:val="24"/>
              </w:rPr>
            </w:pPr>
            <w:r>
              <w:rPr>
                <w:rFonts w:hint="eastAsia" w:ascii="宋体" w:hAnsi="宋体" w:eastAsia="宋体" w:cs="宋体"/>
                <w:sz w:val="24"/>
                <w:szCs w:val="24"/>
              </w:rPr>
              <w:t>提供≥3 种图像色彩模式调节选项，可适配不同手术场景需求；</w:t>
            </w:r>
          </w:p>
          <w:p w14:paraId="136268E4">
            <w:pPr>
              <w:pStyle w:val="12"/>
              <w:numPr>
                <w:ilvl w:val="0"/>
                <w:numId w:val="3"/>
              </w:numPr>
              <w:rPr>
                <w:rFonts w:hint="eastAsia" w:ascii="宋体" w:hAnsi="宋体" w:eastAsia="宋体" w:cs="宋体"/>
                <w:sz w:val="24"/>
                <w:szCs w:val="24"/>
              </w:rPr>
            </w:pPr>
            <w:r>
              <w:rPr>
                <w:rFonts w:hint="eastAsia" w:ascii="宋体" w:hAnsi="宋体" w:eastAsia="宋体" w:cs="宋体"/>
                <w:sz w:val="24"/>
                <w:szCs w:val="24"/>
              </w:rPr>
              <w:t>整机设计使用寿命≥10 年，核心部件（主机、摄像头、光源）提供相应质保承诺；</w:t>
            </w:r>
          </w:p>
          <w:p w14:paraId="0C130A40">
            <w:pPr>
              <w:pStyle w:val="12"/>
              <w:numPr>
                <w:ilvl w:val="0"/>
                <w:numId w:val="3"/>
              </w:numPr>
              <w:rPr>
                <w:rFonts w:hint="eastAsia" w:ascii="宋体" w:hAnsi="宋体" w:eastAsia="宋体" w:cs="宋体"/>
                <w:sz w:val="24"/>
                <w:szCs w:val="24"/>
              </w:rPr>
            </w:pPr>
            <w:r>
              <w:rPr>
                <w:rFonts w:hint="eastAsia" w:ascii="宋体" w:hAnsi="宋体" w:eastAsia="宋体" w:cs="宋体"/>
                <w:sz w:val="24"/>
                <w:szCs w:val="24"/>
              </w:rPr>
              <w:t>支持≥3 种菜单调用 / 系统控制方式，至少包含键盘、摄像头按键、主机面板，满足医师操作习惯；</w:t>
            </w:r>
          </w:p>
          <w:p w14:paraId="3E4E42D4">
            <w:pPr>
              <w:pStyle w:val="12"/>
              <w:numPr>
                <w:ilvl w:val="0"/>
                <w:numId w:val="3"/>
              </w:numPr>
              <w:rPr>
                <w:rFonts w:hint="eastAsia" w:ascii="宋体" w:hAnsi="宋体" w:eastAsia="宋体" w:cs="宋体"/>
                <w:sz w:val="24"/>
                <w:szCs w:val="24"/>
              </w:rPr>
            </w:pPr>
            <w:r>
              <w:rPr>
                <w:rFonts w:hint="eastAsia" w:ascii="宋体" w:hAnsi="宋体" w:eastAsia="宋体" w:cs="宋体"/>
                <w:sz w:val="24"/>
                <w:szCs w:val="24"/>
              </w:rPr>
              <w:t>主机支持 4K 视频输出分辨率（4096×2160P、3840×2160P）及全高清视频输出分辨率（1920×1080P），输出接口兼容行业通用标准；</w:t>
            </w:r>
          </w:p>
          <w:p w14:paraId="2C51D818">
            <w:pPr>
              <w:pStyle w:val="12"/>
              <w:numPr>
                <w:ilvl w:val="0"/>
                <w:numId w:val="3"/>
              </w:numPr>
              <w:rPr>
                <w:rFonts w:hint="eastAsia" w:ascii="宋体" w:hAnsi="宋体" w:eastAsia="宋体" w:cs="宋体"/>
                <w:sz w:val="24"/>
                <w:szCs w:val="24"/>
              </w:rPr>
            </w:pPr>
            <w:r>
              <w:rPr>
                <w:rFonts w:hint="eastAsia" w:ascii="宋体" w:hAnsi="宋体" w:eastAsia="宋体" w:cs="宋体"/>
                <w:sz w:val="24"/>
                <w:szCs w:val="24"/>
              </w:rPr>
              <w:t>曝光模式支持自动 / 手动切换，曝光亮度调节区间≥11 级，可精准适配手术视野亮度需求；</w:t>
            </w:r>
          </w:p>
          <w:p w14:paraId="60546DBA">
            <w:pPr>
              <w:pStyle w:val="12"/>
              <w:numPr>
                <w:ilvl w:val="0"/>
                <w:numId w:val="3"/>
              </w:numPr>
              <w:rPr>
                <w:rFonts w:hint="eastAsia" w:ascii="宋体" w:hAnsi="宋体" w:eastAsia="宋体" w:cs="宋体"/>
                <w:sz w:val="24"/>
                <w:szCs w:val="24"/>
              </w:rPr>
            </w:pPr>
            <w:r>
              <w:rPr>
                <w:rFonts w:hint="eastAsia" w:ascii="宋体" w:hAnsi="宋体" w:eastAsia="宋体" w:cs="宋体"/>
                <w:sz w:val="24"/>
                <w:szCs w:val="24"/>
              </w:rPr>
              <w:t>具备图像增益控制及多维度调节功能（含 R 增益、B 增益、降噪、亮度、饱和度、对比度、锐度等），保障图像质量优化；</w:t>
            </w:r>
          </w:p>
          <w:p w14:paraId="2C6DA979">
            <w:pPr>
              <w:pStyle w:val="12"/>
              <w:numPr>
                <w:ilvl w:val="0"/>
                <w:numId w:val="3"/>
              </w:numPr>
              <w:rPr>
                <w:rFonts w:hint="eastAsia" w:ascii="宋体" w:hAnsi="宋体" w:eastAsia="宋体" w:cs="宋体"/>
                <w:sz w:val="24"/>
                <w:szCs w:val="24"/>
              </w:rPr>
            </w:pPr>
            <w:r>
              <w:rPr>
                <w:rFonts w:hint="eastAsia" w:ascii="宋体" w:hAnsi="宋体" w:eastAsia="宋体" w:cs="宋体"/>
                <w:sz w:val="24"/>
                <w:szCs w:val="24"/>
              </w:rPr>
              <w:t>预设≥10 种场景模式，包括但不限于胸腹腔镜、关节镜、宫腔镜、膀胱镜、纤维镜、耳鼻喉镜、神经外科、标准模式、自定义模式，覆盖主流临床应用场景；</w:t>
            </w:r>
          </w:p>
          <w:p w14:paraId="773F5369">
            <w:pPr>
              <w:pStyle w:val="12"/>
              <w:numPr>
                <w:ilvl w:val="0"/>
                <w:numId w:val="3"/>
              </w:numPr>
              <w:rPr>
                <w:rFonts w:hint="eastAsia" w:ascii="宋体" w:hAnsi="宋体" w:eastAsia="宋体" w:cs="宋体"/>
                <w:sz w:val="24"/>
                <w:szCs w:val="24"/>
              </w:rPr>
            </w:pPr>
            <w:r>
              <w:rPr>
                <w:rFonts w:hint="eastAsia" w:ascii="宋体" w:hAnsi="宋体" w:eastAsia="宋体" w:cs="宋体"/>
                <w:sz w:val="24"/>
                <w:szCs w:val="24"/>
              </w:rPr>
              <w:t>支持≥6 路全画面视频同步输出，满足手术室多终端显示需求；</w:t>
            </w:r>
          </w:p>
          <w:p w14:paraId="411126C4">
            <w:pPr>
              <w:pStyle w:val="12"/>
              <w:numPr>
                <w:ilvl w:val="0"/>
                <w:numId w:val="3"/>
              </w:numPr>
              <w:rPr>
                <w:rFonts w:hint="eastAsia" w:ascii="宋体" w:hAnsi="宋体" w:eastAsia="宋体" w:cs="宋体"/>
                <w:sz w:val="24"/>
                <w:szCs w:val="24"/>
              </w:rPr>
            </w:pPr>
            <w:r>
              <w:rPr>
                <w:rFonts w:hint="eastAsia" w:ascii="宋体" w:hAnsi="宋体" w:eastAsia="宋体" w:cs="宋体"/>
                <w:sz w:val="24"/>
                <w:szCs w:val="24"/>
              </w:rPr>
              <w:t>支持原生 4K（3840×2160）及全高清（1920×1080）分辨率刻录，兼容 H.265、H.264 编码格式及 BT.2020、BT.709 色彩空间，适配不同播放设备；</w:t>
            </w:r>
          </w:p>
          <w:p w14:paraId="7421E130">
            <w:pPr>
              <w:pStyle w:val="12"/>
              <w:numPr>
                <w:ilvl w:val="0"/>
                <w:numId w:val="3"/>
              </w:numPr>
              <w:rPr>
                <w:rFonts w:hint="eastAsia" w:ascii="宋体" w:hAnsi="宋体" w:eastAsia="宋体" w:cs="宋体"/>
                <w:sz w:val="24"/>
                <w:szCs w:val="24"/>
              </w:rPr>
            </w:pPr>
            <w:r>
              <w:rPr>
                <w:rFonts w:hint="eastAsia" w:ascii="宋体" w:hAnsi="宋体" w:eastAsia="宋体" w:cs="宋体"/>
                <w:sz w:val="24"/>
                <w:szCs w:val="24"/>
              </w:rPr>
              <w:t>具备去摩尔纹功能，提供≥3 种调节模式，减少图像干扰；</w:t>
            </w:r>
          </w:p>
          <w:p w14:paraId="299A8D3D">
            <w:pPr>
              <w:pStyle w:val="12"/>
              <w:numPr>
                <w:ilvl w:val="0"/>
                <w:numId w:val="3"/>
              </w:numPr>
              <w:rPr>
                <w:rFonts w:hint="eastAsia" w:ascii="宋体" w:hAnsi="宋体" w:eastAsia="宋体" w:cs="宋体"/>
                <w:sz w:val="24"/>
                <w:szCs w:val="24"/>
              </w:rPr>
            </w:pPr>
            <w:r>
              <w:rPr>
                <w:rFonts w:hint="eastAsia" w:ascii="宋体" w:hAnsi="宋体" w:eastAsia="宋体" w:cs="宋体"/>
                <w:sz w:val="24"/>
                <w:szCs w:val="24"/>
              </w:rPr>
              <w:t>配置 USB 接口≥4 个，支持数据传输及外接设备扩展。</w:t>
            </w:r>
          </w:p>
          <w:p w14:paraId="32285191">
            <w:pPr>
              <w:pStyle w:val="4"/>
              <w:rPr>
                <w:rFonts w:hint="eastAsia" w:ascii="宋体" w:hAnsi="宋体" w:eastAsia="宋体" w:cs="宋体"/>
                <w:sz w:val="24"/>
                <w:szCs w:val="24"/>
              </w:rPr>
            </w:pPr>
            <w:r>
              <w:rPr>
                <w:rFonts w:hint="eastAsia" w:ascii="宋体" w:hAnsi="宋体" w:eastAsia="宋体" w:cs="宋体"/>
                <w:sz w:val="24"/>
                <w:szCs w:val="24"/>
              </w:rPr>
              <w:t>二、4K 内窥镜摄像头</w:t>
            </w:r>
          </w:p>
          <w:p w14:paraId="1D5524A0">
            <w:pPr>
              <w:pStyle w:val="12"/>
              <w:numPr>
                <w:ilvl w:val="0"/>
                <w:numId w:val="4"/>
              </w:numPr>
              <w:rPr>
                <w:rFonts w:hint="eastAsia" w:ascii="宋体" w:hAnsi="宋体" w:eastAsia="宋体" w:cs="宋体"/>
                <w:sz w:val="24"/>
                <w:szCs w:val="24"/>
              </w:rPr>
            </w:pPr>
            <w:r>
              <w:rPr>
                <w:rFonts w:hint="eastAsia" w:ascii="宋体" w:hAnsi="宋体" w:eastAsia="宋体" w:cs="宋体"/>
                <w:sz w:val="24"/>
                <w:szCs w:val="24"/>
              </w:rPr>
              <w:t>配备控制按键≥4 个，支持≥8 种按键功能自定义，适配医师操作习惯；</w:t>
            </w:r>
          </w:p>
          <w:p w14:paraId="184A7EF8">
            <w:pPr>
              <w:pStyle w:val="12"/>
              <w:numPr>
                <w:ilvl w:val="0"/>
                <w:numId w:val="4"/>
              </w:numPr>
              <w:rPr>
                <w:rFonts w:hint="eastAsia" w:ascii="宋体" w:hAnsi="宋体" w:eastAsia="宋体" w:cs="宋体"/>
                <w:sz w:val="24"/>
                <w:szCs w:val="24"/>
              </w:rPr>
            </w:pPr>
            <w:r>
              <w:rPr>
                <w:rFonts w:hint="eastAsia" w:ascii="宋体" w:hAnsi="宋体" w:eastAsia="宋体" w:cs="宋体"/>
                <w:sz w:val="24"/>
                <w:szCs w:val="24"/>
              </w:rPr>
              <w:t>“支持连续光学变焦，变焦比不低于2倍，焦距调节范围覆盖广角至近焦视野，确保术中清晰成像”；</w:t>
            </w:r>
          </w:p>
          <w:p w14:paraId="3FD34A54">
            <w:pPr>
              <w:pStyle w:val="12"/>
              <w:numPr>
                <w:ilvl w:val="0"/>
                <w:numId w:val="4"/>
              </w:numPr>
              <w:rPr>
                <w:rFonts w:hint="eastAsia" w:ascii="宋体" w:hAnsi="宋体" w:eastAsia="宋体" w:cs="宋体"/>
                <w:sz w:val="24"/>
                <w:szCs w:val="24"/>
              </w:rPr>
            </w:pPr>
            <w:r>
              <w:rPr>
                <w:rFonts w:hint="eastAsia" w:ascii="宋体" w:hAnsi="宋体" w:eastAsia="宋体" w:cs="宋体"/>
                <w:sz w:val="24"/>
                <w:szCs w:val="24"/>
              </w:rPr>
              <w:t>图像水平分辨率≥2100 线、垂直分辨率≥2000 线，保障高清成像质量；</w:t>
            </w:r>
          </w:p>
          <w:p w14:paraId="4EE68877">
            <w:pPr>
              <w:pStyle w:val="12"/>
              <w:numPr>
                <w:ilvl w:val="0"/>
                <w:numId w:val="4"/>
              </w:numPr>
              <w:rPr>
                <w:rFonts w:hint="eastAsia" w:ascii="宋体" w:hAnsi="宋体" w:eastAsia="宋体" w:cs="宋体"/>
                <w:sz w:val="24"/>
                <w:szCs w:val="24"/>
              </w:rPr>
            </w:pPr>
            <w:r>
              <w:rPr>
                <w:rFonts w:hint="eastAsia" w:ascii="宋体" w:hAnsi="宋体" w:eastAsia="宋体" w:cs="宋体"/>
                <w:sz w:val="24"/>
                <w:szCs w:val="24"/>
              </w:rPr>
              <w:t>图像相对畸变≤1%，静态图像宽容度≥490，还原真实手术视野；</w:t>
            </w:r>
          </w:p>
          <w:p w14:paraId="69190C94">
            <w:pPr>
              <w:pStyle w:val="12"/>
              <w:numPr>
                <w:ilvl w:val="0"/>
                <w:numId w:val="4"/>
              </w:numPr>
              <w:rPr>
                <w:rFonts w:hint="eastAsia" w:ascii="宋体" w:hAnsi="宋体" w:eastAsia="宋体" w:cs="宋体"/>
                <w:sz w:val="24"/>
                <w:szCs w:val="24"/>
              </w:rPr>
            </w:pPr>
            <w:r>
              <w:rPr>
                <w:rFonts w:hint="eastAsia" w:ascii="宋体" w:hAnsi="宋体" w:eastAsia="宋体" w:cs="宋体"/>
                <w:sz w:val="24"/>
                <w:szCs w:val="24"/>
              </w:rPr>
              <w:t>最低照度≤0.3Lux，具备高感光灵敏度，适配低光照手术场景；</w:t>
            </w:r>
          </w:p>
          <w:p w14:paraId="152F96B3">
            <w:pPr>
              <w:pStyle w:val="12"/>
              <w:numPr>
                <w:ilvl w:val="0"/>
                <w:numId w:val="4"/>
              </w:numPr>
              <w:rPr>
                <w:rFonts w:hint="eastAsia" w:ascii="宋体" w:hAnsi="宋体" w:eastAsia="宋体" w:cs="宋体"/>
                <w:sz w:val="24"/>
                <w:szCs w:val="24"/>
              </w:rPr>
            </w:pPr>
            <w:r>
              <w:rPr>
                <w:rFonts w:hint="eastAsia" w:ascii="宋体" w:hAnsi="宋体" w:eastAsia="宋体" w:cs="宋体"/>
                <w:sz w:val="24"/>
                <w:szCs w:val="24"/>
              </w:rPr>
              <w:t>具备去雾功能，通过算法有效减少烟雾、水雾对图像的干扰；</w:t>
            </w:r>
          </w:p>
          <w:p w14:paraId="03D36243">
            <w:pPr>
              <w:pStyle w:val="12"/>
              <w:numPr>
                <w:ilvl w:val="0"/>
                <w:numId w:val="4"/>
              </w:numPr>
              <w:rPr>
                <w:rFonts w:hint="eastAsia" w:ascii="宋体" w:hAnsi="宋体" w:eastAsia="宋体" w:cs="宋体"/>
                <w:sz w:val="24"/>
                <w:szCs w:val="24"/>
              </w:rPr>
            </w:pPr>
            <w:r>
              <w:rPr>
                <w:rFonts w:hint="eastAsia" w:ascii="宋体" w:hAnsi="宋体" w:eastAsia="宋体" w:cs="宋体"/>
                <w:sz w:val="24"/>
                <w:szCs w:val="24"/>
              </w:rPr>
              <w:t>支持血管增强功能，提升血管辨识度，辅助临床精准操作；</w:t>
            </w:r>
          </w:p>
          <w:p w14:paraId="5934C6DB">
            <w:pPr>
              <w:pStyle w:val="12"/>
              <w:numPr>
                <w:ilvl w:val="0"/>
                <w:numId w:val="4"/>
              </w:numPr>
              <w:rPr>
                <w:rFonts w:hint="eastAsia" w:ascii="宋体" w:hAnsi="宋体" w:eastAsia="宋体" w:cs="宋体"/>
                <w:sz w:val="24"/>
                <w:szCs w:val="24"/>
              </w:rPr>
            </w:pPr>
            <w:r>
              <w:rPr>
                <w:rFonts w:hint="eastAsia" w:ascii="宋体" w:hAnsi="宋体" w:eastAsia="宋体" w:cs="宋体"/>
                <w:sz w:val="24"/>
                <w:szCs w:val="24"/>
              </w:rPr>
              <w:t>具备智能光源联动功能，可全自动调节光源亮度，无需手动干预；</w:t>
            </w:r>
          </w:p>
          <w:p w14:paraId="1A0C0CEF">
            <w:pPr>
              <w:pStyle w:val="12"/>
              <w:numPr>
                <w:ilvl w:val="0"/>
                <w:numId w:val="4"/>
              </w:numPr>
              <w:rPr>
                <w:rFonts w:hint="eastAsia" w:ascii="宋体" w:hAnsi="宋体" w:eastAsia="宋体" w:cs="宋体"/>
                <w:sz w:val="24"/>
                <w:szCs w:val="24"/>
              </w:rPr>
            </w:pPr>
            <w:r>
              <w:rPr>
                <w:rFonts w:hint="eastAsia" w:ascii="宋体" w:hAnsi="宋体" w:eastAsia="宋体" w:cs="宋体"/>
                <w:sz w:val="24"/>
                <w:szCs w:val="24"/>
              </w:rPr>
              <w:t>支持电子放大功能，放大倍数 1-16 倍（≥9 档可调），满足精细操作观察需求；</w:t>
            </w:r>
          </w:p>
          <w:p w14:paraId="689FD017">
            <w:pPr>
              <w:pStyle w:val="12"/>
              <w:numPr>
                <w:ilvl w:val="0"/>
                <w:numId w:val="4"/>
              </w:numPr>
              <w:rPr>
                <w:rFonts w:hint="eastAsia" w:ascii="宋体" w:hAnsi="宋体" w:eastAsia="宋体" w:cs="宋体"/>
                <w:sz w:val="24"/>
                <w:szCs w:val="24"/>
              </w:rPr>
            </w:pPr>
            <w:r>
              <w:rPr>
                <w:rFonts w:hint="eastAsia" w:ascii="宋体" w:hAnsi="宋体" w:eastAsia="宋体" w:cs="宋体"/>
                <w:sz w:val="24"/>
                <w:szCs w:val="24"/>
              </w:rPr>
              <w:t>采用人体工学防误触设计，重量≤215g，减轻医师握持疲劳；</w:t>
            </w:r>
          </w:p>
          <w:p w14:paraId="55419D8A">
            <w:pPr>
              <w:pStyle w:val="12"/>
              <w:numPr>
                <w:ilvl w:val="0"/>
                <w:numId w:val="4"/>
              </w:numPr>
              <w:rPr>
                <w:rFonts w:hint="eastAsia" w:ascii="宋体" w:hAnsi="宋体" w:eastAsia="宋体" w:cs="宋体"/>
                <w:sz w:val="24"/>
                <w:szCs w:val="24"/>
              </w:rPr>
            </w:pPr>
            <w:r>
              <w:rPr>
                <w:rFonts w:hint="eastAsia" w:ascii="宋体" w:hAnsi="宋体" w:eastAsia="宋体" w:cs="宋体"/>
                <w:sz w:val="24"/>
                <w:szCs w:val="24"/>
              </w:rPr>
              <w:t>手持部位温升≤10℃，保障长时间握持舒适性；</w:t>
            </w:r>
          </w:p>
          <w:p w14:paraId="1398C99D">
            <w:pPr>
              <w:pStyle w:val="12"/>
              <w:numPr>
                <w:ilvl w:val="0"/>
                <w:numId w:val="4"/>
              </w:numPr>
              <w:rPr>
                <w:rFonts w:hint="eastAsia" w:ascii="宋体" w:hAnsi="宋体" w:eastAsia="宋体" w:cs="宋体"/>
                <w:sz w:val="24"/>
                <w:szCs w:val="24"/>
              </w:rPr>
            </w:pPr>
            <w:r>
              <w:rPr>
                <w:rFonts w:hint="eastAsia" w:ascii="宋体" w:hAnsi="宋体" w:eastAsia="宋体" w:cs="宋体"/>
                <w:sz w:val="24"/>
                <w:szCs w:val="24"/>
              </w:rPr>
              <w:t>“支持高水平消毒方式，可耐受至少500次重复消毒处理，符合《医疗机构消毒技术规范》要求，兼容低温等离子、高温高压或其他经认证的灭菌工艺”。</w:t>
            </w:r>
          </w:p>
          <w:p w14:paraId="04258F96">
            <w:pPr>
              <w:pStyle w:val="4"/>
              <w:rPr>
                <w:rFonts w:hint="eastAsia" w:ascii="宋体" w:hAnsi="宋体" w:eastAsia="宋体" w:cs="宋体"/>
                <w:sz w:val="24"/>
                <w:szCs w:val="24"/>
              </w:rPr>
            </w:pPr>
            <w:r>
              <w:rPr>
                <w:rFonts w:hint="eastAsia" w:ascii="宋体" w:hAnsi="宋体" w:eastAsia="宋体" w:cs="宋体"/>
                <w:sz w:val="24"/>
                <w:szCs w:val="24"/>
              </w:rPr>
              <w:t>三、LED 冷光源</w:t>
            </w:r>
          </w:p>
          <w:p w14:paraId="65176687">
            <w:pPr>
              <w:pStyle w:val="12"/>
              <w:numPr>
                <w:ilvl w:val="0"/>
                <w:numId w:val="5"/>
              </w:numPr>
              <w:rPr>
                <w:rFonts w:hint="eastAsia" w:ascii="宋体" w:hAnsi="宋体" w:eastAsia="宋体" w:cs="宋体"/>
                <w:sz w:val="24"/>
                <w:szCs w:val="24"/>
              </w:rPr>
            </w:pPr>
            <w:r>
              <w:rPr>
                <w:rFonts w:hint="eastAsia" w:ascii="宋体" w:hAnsi="宋体" w:eastAsia="宋体" w:cs="宋体"/>
                <w:sz w:val="24"/>
                <w:szCs w:val="24"/>
              </w:rPr>
              <w:t>设计使用寿命≥10 年，核心发光部件使用寿命≥60000 小时，提供质保承诺；</w:t>
            </w:r>
          </w:p>
          <w:p w14:paraId="1DBA11FF">
            <w:pPr>
              <w:pStyle w:val="12"/>
              <w:numPr>
                <w:ilvl w:val="0"/>
                <w:numId w:val="5"/>
              </w:numPr>
              <w:rPr>
                <w:rFonts w:hint="eastAsia" w:ascii="宋体" w:hAnsi="宋体" w:eastAsia="宋体" w:cs="宋体"/>
                <w:sz w:val="24"/>
                <w:szCs w:val="24"/>
              </w:rPr>
            </w:pPr>
            <w:r>
              <w:rPr>
                <w:rFonts w:hint="eastAsia" w:ascii="宋体" w:hAnsi="宋体" w:eastAsia="宋体" w:cs="宋体"/>
                <w:sz w:val="24"/>
                <w:szCs w:val="24"/>
              </w:rPr>
              <w:t>电击防护等级不低于 CF 型，符合医用安全标准；</w:t>
            </w:r>
          </w:p>
          <w:p w14:paraId="39866E7E">
            <w:pPr>
              <w:pStyle w:val="12"/>
              <w:numPr>
                <w:ilvl w:val="0"/>
                <w:numId w:val="5"/>
              </w:numPr>
              <w:rPr>
                <w:rFonts w:hint="eastAsia" w:ascii="宋体" w:hAnsi="宋体" w:eastAsia="宋体" w:cs="宋体"/>
                <w:sz w:val="24"/>
                <w:szCs w:val="24"/>
              </w:rPr>
            </w:pPr>
            <w:r>
              <w:rPr>
                <w:rFonts w:hint="eastAsia" w:ascii="宋体" w:hAnsi="宋体" w:eastAsia="宋体" w:cs="宋体"/>
                <w:sz w:val="24"/>
                <w:szCs w:val="24"/>
              </w:rPr>
              <w:t>色温区间 5500K±1000K，输出总光通量≥1200lm，显色指数≥89%，保障色彩还原度；</w:t>
            </w:r>
          </w:p>
          <w:p w14:paraId="3ED5C818">
            <w:pPr>
              <w:pStyle w:val="12"/>
              <w:numPr>
                <w:ilvl w:val="0"/>
                <w:numId w:val="5"/>
              </w:numPr>
              <w:rPr>
                <w:rFonts w:hint="eastAsia" w:ascii="宋体" w:hAnsi="宋体" w:eastAsia="宋体" w:cs="宋体"/>
                <w:sz w:val="24"/>
                <w:szCs w:val="24"/>
              </w:rPr>
            </w:pPr>
            <w:r>
              <w:rPr>
                <w:rFonts w:hint="eastAsia" w:ascii="宋体" w:hAnsi="宋体" w:eastAsia="宋体" w:cs="宋体"/>
                <w:sz w:val="24"/>
                <w:szCs w:val="24"/>
              </w:rPr>
              <w:t>红外截止性能≤4mW/lm，减少红外辐射对人体组织的影响；</w:t>
            </w:r>
          </w:p>
          <w:p w14:paraId="077CF89A">
            <w:pPr>
              <w:pStyle w:val="12"/>
              <w:numPr>
                <w:ilvl w:val="0"/>
                <w:numId w:val="5"/>
              </w:numPr>
              <w:rPr>
                <w:rFonts w:hint="eastAsia" w:ascii="宋体" w:hAnsi="宋体" w:eastAsia="宋体" w:cs="宋体"/>
                <w:sz w:val="24"/>
                <w:szCs w:val="24"/>
              </w:rPr>
            </w:pPr>
            <w:r>
              <w:rPr>
                <w:rFonts w:hint="eastAsia" w:ascii="宋体" w:hAnsi="宋体" w:eastAsia="宋体" w:cs="宋体"/>
                <w:sz w:val="24"/>
                <w:szCs w:val="24"/>
              </w:rPr>
              <w:t>支持光源联动调节功能，可全自动适配手术视野亮度需求；</w:t>
            </w:r>
          </w:p>
          <w:p w14:paraId="21A3B84A">
            <w:pPr>
              <w:pStyle w:val="12"/>
              <w:numPr>
                <w:ilvl w:val="0"/>
                <w:numId w:val="5"/>
              </w:numPr>
              <w:rPr>
                <w:rFonts w:hint="eastAsia" w:ascii="宋体" w:hAnsi="宋体" w:eastAsia="宋体" w:cs="宋体"/>
                <w:sz w:val="24"/>
                <w:szCs w:val="24"/>
              </w:rPr>
            </w:pPr>
            <w:r>
              <w:rPr>
                <w:rFonts w:hint="eastAsia" w:ascii="宋体" w:hAnsi="宋体" w:eastAsia="宋体" w:cs="宋体"/>
                <w:sz w:val="24"/>
                <w:szCs w:val="24"/>
              </w:rPr>
              <w:t>具备导光束插入自动检测功能及光源寿命提示功能，便于设备维护。</w:t>
            </w:r>
          </w:p>
          <w:p w14:paraId="25BF2CF3">
            <w:pPr>
              <w:pStyle w:val="4"/>
              <w:rPr>
                <w:rFonts w:hint="eastAsia" w:ascii="宋体" w:hAnsi="宋体" w:eastAsia="宋体" w:cs="宋体"/>
                <w:sz w:val="24"/>
                <w:szCs w:val="24"/>
              </w:rPr>
            </w:pPr>
            <w:r>
              <w:rPr>
                <w:rFonts w:hint="eastAsia" w:ascii="宋体" w:hAnsi="宋体" w:eastAsia="宋体" w:cs="宋体"/>
                <w:sz w:val="24"/>
                <w:szCs w:val="24"/>
              </w:rPr>
              <w:t>四、32 寸 4K 医用显示器</w:t>
            </w:r>
          </w:p>
          <w:p w14:paraId="36E78C03">
            <w:pPr>
              <w:pStyle w:val="12"/>
              <w:numPr>
                <w:ilvl w:val="0"/>
                <w:numId w:val="6"/>
              </w:numPr>
              <w:rPr>
                <w:rFonts w:hint="eastAsia" w:ascii="宋体" w:hAnsi="宋体" w:eastAsia="宋体" w:cs="宋体"/>
                <w:sz w:val="24"/>
                <w:szCs w:val="24"/>
              </w:rPr>
            </w:pPr>
            <w:r>
              <w:rPr>
                <w:rFonts w:hint="eastAsia" w:ascii="宋体" w:hAnsi="宋体" w:eastAsia="宋体" w:cs="宋体"/>
                <w:sz w:val="24"/>
                <w:szCs w:val="24"/>
              </w:rPr>
              <w:t>采用 32 英寸医用液晶面板，支持 3840×2160 分辨率，符合医用显示标准，具备防眩光、高对比度特性，保障手术视野清晰呈现。</w:t>
            </w:r>
          </w:p>
          <w:p w14:paraId="731704F2">
            <w:pPr>
              <w:pStyle w:val="4"/>
              <w:rPr>
                <w:rFonts w:hint="eastAsia" w:ascii="宋体" w:hAnsi="宋体" w:eastAsia="宋体" w:cs="宋体"/>
                <w:sz w:val="24"/>
                <w:szCs w:val="24"/>
              </w:rPr>
            </w:pPr>
            <w:r>
              <w:rPr>
                <w:rFonts w:hint="eastAsia" w:ascii="宋体" w:hAnsi="宋体" w:eastAsia="宋体" w:cs="宋体"/>
                <w:sz w:val="24"/>
                <w:szCs w:val="24"/>
              </w:rPr>
              <w:t>五、导光束</w:t>
            </w:r>
          </w:p>
          <w:p w14:paraId="1AC1A986">
            <w:pPr>
              <w:pStyle w:val="12"/>
              <w:numPr>
                <w:ilvl w:val="0"/>
                <w:numId w:val="7"/>
              </w:numPr>
              <w:rPr>
                <w:rFonts w:hint="eastAsia" w:ascii="宋体" w:hAnsi="宋体" w:eastAsia="宋体" w:cs="宋体"/>
                <w:sz w:val="24"/>
                <w:szCs w:val="24"/>
              </w:rPr>
            </w:pPr>
            <w:r>
              <w:rPr>
                <w:rFonts w:hint="eastAsia" w:ascii="宋体" w:hAnsi="宋体" w:eastAsia="宋体" w:cs="宋体"/>
                <w:sz w:val="24"/>
                <w:szCs w:val="24"/>
              </w:rPr>
              <w:t>长度≥3000mm，有效芯径≥4.0mm，透光率高，适配手术操作范围需求。</w:t>
            </w:r>
          </w:p>
          <w:p w14:paraId="24822414">
            <w:pPr>
              <w:pStyle w:val="4"/>
              <w:rPr>
                <w:rFonts w:hint="eastAsia" w:ascii="宋体" w:hAnsi="宋体" w:eastAsia="宋体" w:cs="宋体"/>
                <w:sz w:val="24"/>
                <w:szCs w:val="24"/>
              </w:rPr>
            </w:pPr>
            <w:r>
              <w:rPr>
                <w:rFonts w:hint="eastAsia" w:ascii="宋体" w:hAnsi="宋体" w:eastAsia="宋体" w:cs="宋体"/>
                <w:sz w:val="24"/>
                <w:szCs w:val="24"/>
              </w:rPr>
              <w:t>六、医用台车</w:t>
            </w:r>
          </w:p>
          <w:p w14:paraId="20BDDAF1">
            <w:pPr>
              <w:pStyle w:val="12"/>
              <w:numPr>
                <w:ilvl w:val="0"/>
                <w:numId w:val="8"/>
              </w:numPr>
              <w:rPr>
                <w:rFonts w:hint="eastAsia" w:ascii="宋体" w:hAnsi="宋体" w:eastAsia="宋体" w:cs="宋体"/>
                <w:sz w:val="24"/>
                <w:szCs w:val="24"/>
              </w:rPr>
            </w:pPr>
            <w:r>
              <w:rPr>
                <w:rFonts w:hint="eastAsia" w:ascii="宋体" w:hAnsi="宋体" w:eastAsia="宋体" w:cs="宋体"/>
                <w:sz w:val="24"/>
                <w:szCs w:val="24"/>
              </w:rPr>
              <w:t>配备监视器挂臂，挂臂具备三关节调节功能，支持 360° 旋转及高度可调，满足手术室不同观察角度需求；</w:t>
            </w:r>
          </w:p>
          <w:p w14:paraId="4734DFAA">
            <w:pPr>
              <w:pStyle w:val="12"/>
              <w:numPr>
                <w:ilvl w:val="0"/>
                <w:numId w:val="8"/>
              </w:numPr>
              <w:rPr>
                <w:rFonts w:hint="eastAsia" w:ascii="宋体" w:hAnsi="宋体" w:eastAsia="宋体" w:cs="宋体"/>
                <w:sz w:val="24"/>
                <w:szCs w:val="24"/>
              </w:rPr>
            </w:pPr>
            <w:r>
              <w:rPr>
                <w:rFonts w:hint="eastAsia" w:ascii="宋体" w:hAnsi="宋体" w:eastAsia="宋体" w:cs="宋体"/>
                <w:sz w:val="24"/>
                <w:szCs w:val="24"/>
              </w:rPr>
              <w:t>台车结构稳定，承重能力适配整套设备，具备线缆收纳设计，便于移动及摆放。</w:t>
            </w:r>
          </w:p>
          <w:p w14:paraId="73E32F16">
            <w:pPr>
              <w:pStyle w:val="4"/>
              <w:rPr>
                <w:rFonts w:hint="eastAsia" w:ascii="宋体" w:hAnsi="宋体" w:eastAsia="宋体" w:cs="宋体"/>
                <w:sz w:val="24"/>
                <w:szCs w:val="24"/>
              </w:rPr>
            </w:pPr>
            <w:r>
              <w:rPr>
                <w:rFonts w:hint="eastAsia" w:ascii="宋体" w:hAnsi="宋体" w:eastAsia="宋体" w:cs="宋体"/>
                <w:sz w:val="24"/>
                <w:szCs w:val="24"/>
              </w:rPr>
              <w:t>七、气腹机</w:t>
            </w:r>
          </w:p>
          <w:p w14:paraId="694E43DA">
            <w:pPr>
              <w:pStyle w:val="12"/>
              <w:numPr>
                <w:ilvl w:val="0"/>
                <w:numId w:val="9"/>
              </w:numPr>
              <w:rPr>
                <w:rFonts w:hint="eastAsia" w:ascii="宋体" w:hAnsi="宋体" w:eastAsia="宋体" w:cs="宋体"/>
                <w:sz w:val="24"/>
                <w:szCs w:val="24"/>
              </w:rPr>
            </w:pPr>
            <w:r>
              <w:rPr>
                <w:rFonts w:hint="eastAsia" w:ascii="宋体" w:hAnsi="宋体" w:eastAsia="宋体" w:cs="宋体"/>
                <w:sz w:val="24"/>
                <w:szCs w:val="24"/>
              </w:rPr>
              <w:t>采用≥7 英寸触控屏设计，支持流量、压力调节，配备防误触功能键；</w:t>
            </w:r>
          </w:p>
          <w:p w14:paraId="08534929">
            <w:pPr>
              <w:pStyle w:val="12"/>
              <w:numPr>
                <w:ilvl w:val="0"/>
                <w:numId w:val="9"/>
              </w:numPr>
              <w:rPr>
                <w:rFonts w:hint="eastAsia" w:ascii="宋体" w:hAnsi="宋体" w:eastAsia="宋体" w:cs="宋体"/>
                <w:sz w:val="24"/>
                <w:szCs w:val="24"/>
              </w:rPr>
            </w:pPr>
            <w:r>
              <w:rPr>
                <w:rFonts w:hint="eastAsia" w:ascii="宋体" w:hAnsi="宋体" w:eastAsia="宋体" w:cs="宋体"/>
                <w:sz w:val="24"/>
                <w:szCs w:val="24"/>
              </w:rPr>
              <w:t>电击防护等级不低于 CF 型，符合医用安全标准；</w:t>
            </w:r>
          </w:p>
          <w:p w14:paraId="0D84363E">
            <w:pPr>
              <w:pStyle w:val="12"/>
              <w:numPr>
                <w:ilvl w:val="0"/>
                <w:numId w:val="9"/>
              </w:numPr>
              <w:rPr>
                <w:rFonts w:hint="eastAsia" w:ascii="宋体" w:hAnsi="宋体" w:eastAsia="宋体" w:cs="宋体"/>
                <w:sz w:val="24"/>
                <w:szCs w:val="24"/>
              </w:rPr>
            </w:pPr>
            <w:r>
              <w:rPr>
                <w:rFonts w:hint="eastAsia" w:ascii="宋体" w:hAnsi="宋体" w:eastAsia="宋体" w:cs="宋体"/>
                <w:sz w:val="24"/>
                <w:szCs w:val="24"/>
              </w:rPr>
              <w:t>流量调节精度≤0.1L/min，压力调节范围 1mmHg-30mmHg，压力调节精度≤1mmHg；</w:t>
            </w:r>
          </w:p>
          <w:p w14:paraId="6FE0228A">
            <w:pPr>
              <w:pStyle w:val="12"/>
              <w:numPr>
                <w:ilvl w:val="0"/>
                <w:numId w:val="9"/>
              </w:numPr>
              <w:rPr>
                <w:rFonts w:hint="eastAsia" w:ascii="宋体" w:hAnsi="宋体" w:eastAsia="宋体" w:cs="宋体"/>
                <w:sz w:val="24"/>
                <w:szCs w:val="24"/>
              </w:rPr>
            </w:pPr>
            <w:r>
              <w:rPr>
                <w:rFonts w:hint="eastAsia" w:ascii="宋体" w:hAnsi="宋体" w:eastAsia="宋体" w:cs="宋体"/>
                <w:sz w:val="24"/>
                <w:szCs w:val="24"/>
              </w:rPr>
              <w:t>具备恒温加热功能，输出气体温度恒定为 37℃±1℃；</w:t>
            </w:r>
          </w:p>
          <w:p w14:paraId="3172ACFE">
            <w:pPr>
              <w:pStyle w:val="12"/>
              <w:numPr>
                <w:ilvl w:val="0"/>
                <w:numId w:val="9"/>
              </w:numPr>
              <w:rPr>
                <w:rFonts w:hint="eastAsia" w:ascii="宋体" w:hAnsi="宋体" w:eastAsia="宋体" w:cs="宋体"/>
                <w:sz w:val="24"/>
                <w:szCs w:val="24"/>
              </w:rPr>
            </w:pPr>
            <w:r>
              <w:rPr>
                <w:rFonts w:hint="eastAsia" w:ascii="宋体" w:hAnsi="宋体" w:eastAsia="宋体" w:cs="宋体"/>
                <w:sz w:val="24"/>
                <w:szCs w:val="24"/>
              </w:rPr>
              <w:t>配备开机自检、过压报警、过压释放功能，以及进气过滤、液体检测预警功能；</w:t>
            </w:r>
          </w:p>
          <w:p w14:paraId="6E9C31D5">
            <w:pPr>
              <w:pStyle w:val="12"/>
              <w:numPr>
                <w:ilvl w:val="0"/>
                <w:numId w:val="9"/>
              </w:numPr>
              <w:rPr>
                <w:rFonts w:hint="eastAsia" w:ascii="宋体" w:hAnsi="宋体" w:eastAsia="宋体" w:cs="宋体"/>
                <w:sz w:val="24"/>
                <w:szCs w:val="24"/>
              </w:rPr>
            </w:pPr>
            <w:r>
              <w:rPr>
                <w:rFonts w:hint="eastAsia" w:ascii="宋体" w:hAnsi="宋体" w:eastAsia="宋体" w:cs="宋体"/>
                <w:sz w:val="24"/>
                <w:szCs w:val="24"/>
              </w:rPr>
              <w:t>具备双重安全保护设计（压力传感器双备份 + 电子低压安全阀）。</w:t>
            </w:r>
          </w:p>
          <w:p w14:paraId="363B80E0">
            <w:pPr>
              <w:pStyle w:val="4"/>
              <w:rPr>
                <w:rFonts w:hint="eastAsia" w:ascii="宋体" w:hAnsi="宋体" w:eastAsia="宋体" w:cs="宋体"/>
                <w:sz w:val="24"/>
                <w:szCs w:val="24"/>
              </w:rPr>
            </w:pPr>
            <w:r>
              <w:rPr>
                <w:rFonts w:hint="eastAsia" w:ascii="宋体" w:hAnsi="宋体" w:eastAsia="宋体" w:cs="宋体"/>
                <w:sz w:val="24"/>
                <w:szCs w:val="24"/>
              </w:rPr>
              <w:t>八、腹腔镜</w:t>
            </w:r>
          </w:p>
          <w:p w14:paraId="59F950E1">
            <w:pPr>
              <w:pStyle w:val="12"/>
              <w:numPr>
                <w:ilvl w:val="0"/>
                <w:numId w:val="10"/>
              </w:numPr>
              <w:rPr>
                <w:rFonts w:hint="eastAsia" w:ascii="宋体" w:hAnsi="宋体" w:eastAsia="宋体" w:cs="宋体"/>
                <w:sz w:val="24"/>
                <w:szCs w:val="24"/>
              </w:rPr>
            </w:pPr>
            <w:r>
              <w:rPr>
                <w:rFonts w:hint="eastAsia" w:ascii="宋体" w:hAnsi="宋体" w:eastAsia="宋体" w:cs="宋体"/>
                <w:sz w:val="24"/>
                <w:szCs w:val="24"/>
              </w:rPr>
              <w:t>30° 视角 4K 腹腔镜，直径 10mm，长度≥330mm，光学性能稳定，兼容整套摄像系统。</w:t>
            </w:r>
          </w:p>
          <w:p w14:paraId="36641F80">
            <w:pPr>
              <w:numPr>
                <w:ilvl w:val="0"/>
                <w:numId w:val="0"/>
              </w:numPr>
              <w:jc w:val="left"/>
              <w:rPr>
                <w:rFonts w:hint="eastAsia" w:ascii="宋体" w:hAnsi="宋体" w:cs="宋体"/>
                <w:sz w:val="24"/>
                <w:szCs w:val="24"/>
                <w:vertAlign w:val="baseline"/>
                <w:lang w:val="en-US" w:eastAsia="zh-CN"/>
              </w:rPr>
            </w:pPr>
          </w:p>
        </w:tc>
      </w:tr>
    </w:tbl>
    <w:p w14:paraId="5AC2A650">
      <w:pPr>
        <w:numPr>
          <w:ilvl w:val="0"/>
          <w:numId w:val="0"/>
        </w:numPr>
        <w:ind w:leftChars="0"/>
        <w:jc w:val="left"/>
        <w:rPr>
          <w:rFonts w:hint="eastAsia" w:ascii="宋体" w:hAnsi="宋体" w:cs="宋体"/>
          <w:sz w:val="24"/>
          <w:szCs w:val="24"/>
          <w:lang w:val="en-US" w:eastAsia="zh-CN"/>
        </w:rPr>
      </w:pPr>
    </w:p>
    <w:p w14:paraId="4C509921">
      <w:pPr>
        <w:rPr>
          <w:b/>
          <w:bCs/>
        </w:rPr>
      </w:pPr>
      <w:r>
        <w:rPr>
          <w:rFonts w:hint="eastAsia"/>
          <w:b/>
          <w:bCs/>
        </w:rPr>
        <w:t>要求/备注说明</w:t>
      </w:r>
    </w:p>
    <w:tbl>
      <w:tblPr>
        <w:tblStyle w:val="5"/>
        <w:tblW w:w="5264" w:type="pct"/>
        <w:jc w:val="center"/>
        <w:tblLayout w:type="autofit"/>
        <w:tblCellMar>
          <w:top w:w="0" w:type="dxa"/>
          <w:left w:w="108" w:type="dxa"/>
          <w:bottom w:w="0" w:type="dxa"/>
          <w:right w:w="108" w:type="dxa"/>
        </w:tblCellMar>
      </w:tblPr>
      <w:tblGrid>
        <w:gridCol w:w="1240"/>
        <w:gridCol w:w="7732"/>
      </w:tblGrid>
      <w:tr w14:paraId="5C744142">
        <w:tblPrEx>
          <w:tblCellMar>
            <w:top w:w="0" w:type="dxa"/>
            <w:left w:w="108" w:type="dxa"/>
            <w:bottom w:w="0" w:type="dxa"/>
            <w:right w:w="108" w:type="dxa"/>
          </w:tblCellMar>
        </w:tblPrEx>
        <w:trPr>
          <w:trHeight w:val="702" w:hRule="atLeast"/>
          <w:jc w:val="center"/>
        </w:trPr>
        <w:tc>
          <w:tcPr>
            <w:tcW w:w="691" w:type="pct"/>
            <w:tcBorders>
              <w:top w:val="single" w:color="auto" w:sz="4" w:space="0"/>
              <w:left w:val="single" w:color="auto" w:sz="4" w:space="0"/>
              <w:bottom w:val="single" w:color="auto" w:sz="4" w:space="0"/>
              <w:right w:val="single" w:color="auto" w:sz="4" w:space="0"/>
            </w:tcBorders>
            <w:vAlign w:val="center"/>
          </w:tcPr>
          <w:p w14:paraId="4B0F548A">
            <w:pPr>
              <w:pStyle w:val="9"/>
              <w:rPr>
                <w:b/>
                <w:bCs/>
              </w:rPr>
            </w:pPr>
            <w:r>
              <w:rPr>
                <w:rFonts w:hint="eastAsia"/>
                <w:b/>
                <w:bCs/>
              </w:rPr>
              <w:t>核心产品</w:t>
            </w:r>
          </w:p>
        </w:tc>
        <w:tc>
          <w:tcPr>
            <w:tcW w:w="4308" w:type="pct"/>
            <w:tcBorders>
              <w:top w:val="single" w:color="auto" w:sz="4" w:space="0"/>
              <w:left w:val="single" w:color="auto" w:sz="4" w:space="0"/>
              <w:bottom w:val="single" w:color="auto" w:sz="4" w:space="0"/>
              <w:right w:val="single" w:color="auto" w:sz="4" w:space="0"/>
            </w:tcBorders>
            <w:vAlign w:val="center"/>
          </w:tcPr>
          <w:p w14:paraId="262B0BE6">
            <w:pPr>
              <w:pStyle w:val="9"/>
            </w:pPr>
            <w:r>
              <w:rPr>
                <w:rFonts w:hint="eastAsia"/>
              </w:rPr>
              <w:t>非单一产品采购项目，采购人应当根据采购项目技术构成、产品价格比重等合理确定一个核心产品（采购清单中作与核心产品“相同〈或同一〉品牌”要求的产品，视为一个核心产品），并以“核心产品”在采购清单要求/备注栏中标注。</w:t>
            </w:r>
          </w:p>
        </w:tc>
      </w:tr>
      <w:tr w14:paraId="68496CB0">
        <w:tblPrEx>
          <w:tblCellMar>
            <w:top w:w="0" w:type="dxa"/>
            <w:left w:w="108" w:type="dxa"/>
            <w:bottom w:w="0" w:type="dxa"/>
            <w:right w:w="108" w:type="dxa"/>
          </w:tblCellMar>
        </w:tblPrEx>
        <w:trPr>
          <w:trHeight w:val="702" w:hRule="atLeast"/>
          <w:jc w:val="center"/>
        </w:trPr>
        <w:tc>
          <w:tcPr>
            <w:tcW w:w="691" w:type="pct"/>
            <w:tcBorders>
              <w:top w:val="single" w:color="auto" w:sz="4" w:space="0"/>
              <w:left w:val="single" w:color="auto" w:sz="4" w:space="0"/>
              <w:bottom w:val="single" w:color="auto" w:sz="4" w:space="0"/>
              <w:right w:val="single" w:color="auto" w:sz="4" w:space="0"/>
            </w:tcBorders>
            <w:vAlign w:val="center"/>
          </w:tcPr>
          <w:p w14:paraId="72F85E7C">
            <w:pPr>
              <w:pStyle w:val="9"/>
              <w:rPr>
                <w:b/>
                <w:bCs/>
              </w:rPr>
            </w:pPr>
            <w:r>
              <w:rPr>
                <w:rFonts w:hint="eastAsia"/>
                <w:b/>
                <w:bCs/>
              </w:rPr>
              <w:t>节能产品</w:t>
            </w:r>
          </w:p>
        </w:tc>
        <w:tc>
          <w:tcPr>
            <w:tcW w:w="4308" w:type="pct"/>
            <w:tcBorders>
              <w:top w:val="single" w:color="auto" w:sz="4" w:space="0"/>
              <w:left w:val="single" w:color="auto" w:sz="4" w:space="0"/>
              <w:bottom w:val="single" w:color="auto" w:sz="4" w:space="0"/>
              <w:right w:val="single" w:color="auto" w:sz="4" w:space="0"/>
            </w:tcBorders>
            <w:vAlign w:val="center"/>
          </w:tcPr>
          <w:p w14:paraId="3D4DAF43">
            <w:pPr>
              <w:pStyle w:val="9"/>
            </w:pPr>
            <w:r>
              <w:rPr>
                <w:rFonts w:hint="eastAsia"/>
              </w:rPr>
              <w:t>采购清单要求/备注栏中注明“节能产品”的标的，为强制采购节能产品。依据财库〔</w:t>
            </w:r>
            <w:r>
              <w:t>2019〕</w:t>
            </w:r>
            <w:r>
              <w:rPr>
                <w:rFonts w:hint="eastAsia"/>
              </w:rPr>
              <w:t>9号文的规定，应提供国家确定的认证机构出具的节能产品认证证书。</w:t>
            </w:r>
          </w:p>
        </w:tc>
      </w:tr>
      <w:tr w14:paraId="718F6964">
        <w:tblPrEx>
          <w:tblCellMar>
            <w:top w:w="0" w:type="dxa"/>
            <w:left w:w="108" w:type="dxa"/>
            <w:bottom w:w="0" w:type="dxa"/>
            <w:right w:w="108" w:type="dxa"/>
          </w:tblCellMar>
        </w:tblPrEx>
        <w:trPr>
          <w:trHeight w:val="702" w:hRule="atLeast"/>
          <w:jc w:val="center"/>
        </w:trPr>
        <w:tc>
          <w:tcPr>
            <w:tcW w:w="691" w:type="pct"/>
            <w:tcBorders>
              <w:top w:val="single" w:color="auto" w:sz="4" w:space="0"/>
              <w:left w:val="single" w:color="auto" w:sz="4" w:space="0"/>
              <w:bottom w:val="single" w:color="auto" w:sz="4" w:space="0"/>
              <w:right w:val="single" w:color="auto" w:sz="4" w:space="0"/>
            </w:tcBorders>
            <w:vAlign w:val="center"/>
          </w:tcPr>
          <w:p w14:paraId="3A1E926E">
            <w:pPr>
              <w:pStyle w:val="9"/>
              <w:rPr>
                <w:b/>
                <w:bCs/>
              </w:rPr>
            </w:pPr>
            <w:r>
              <w:rPr>
                <w:rFonts w:hint="eastAsia"/>
                <w:b/>
                <w:bCs/>
              </w:rPr>
              <w:t>进口产品</w:t>
            </w:r>
          </w:p>
        </w:tc>
        <w:tc>
          <w:tcPr>
            <w:tcW w:w="4308" w:type="pct"/>
            <w:tcBorders>
              <w:top w:val="single" w:color="auto" w:sz="4" w:space="0"/>
              <w:left w:val="single" w:color="auto" w:sz="4" w:space="0"/>
              <w:bottom w:val="single" w:color="auto" w:sz="4" w:space="0"/>
              <w:right w:val="single" w:color="auto" w:sz="4" w:space="0"/>
            </w:tcBorders>
            <w:vAlign w:val="center"/>
          </w:tcPr>
          <w:p w14:paraId="41E461F9">
            <w:pPr>
              <w:pStyle w:val="9"/>
            </w:pPr>
            <w:r>
              <w:rPr>
                <w:rFonts w:hint="eastAsia"/>
              </w:rPr>
              <w:t>采购清单要求/备注栏中注明“进口产品”的标的。可使用</w:t>
            </w:r>
            <w:r>
              <w:rPr>
                <w:rFonts w:hint="eastAsia"/>
                <w:szCs w:val="24"/>
                <w:lang w:val="zh-CN"/>
              </w:rPr>
              <w:t>进口产品参加磋商。</w:t>
            </w:r>
          </w:p>
        </w:tc>
      </w:tr>
      <w:tr w14:paraId="7C2BA2A7">
        <w:tblPrEx>
          <w:tblCellMar>
            <w:top w:w="0" w:type="dxa"/>
            <w:left w:w="108" w:type="dxa"/>
            <w:bottom w:w="0" w:type="dxa"/>
            <w:right w:w="108" w:type="dxa"/>
          </w:tblCellMar>
        </w:tblPrEx>
        <w:trPr>
          <w:trHeight w:val="548" w:hRule="atLeast"/>
          <w:jc w:val="center"/>
        </w:trPr>
        <w:tc>
          <w:tcPr>
            <w:tcW w:w="691" w:type="pct"/>
            <w:tcBorders>
              <w:top w:val="single" w:color="auto" w:sz="4" w:space="0"/>
              <w:left w:val="single" w:color="auto" w:sz="4" w:space="0"/>
              <w:bottom w:val="single" w:color="auto" w:sz="4" w:space="0"/>
              <w:right w:val="single" w:color="auto" w:sz="4" w:space="0"/>
            </w:tcBorders>
            <w:vAlign w:val="center"/>
          </w:tcPr>
          <w:p w14:paraId="743C7BB0">
            <w:pPr>
              <w:pStyle w:val="9"/>
              <w:rPr>
                <w:b/>
                <w:bCs/>
              </w:rPr>
            </w:pPr>
            <w:r>
              <w:rPr>
                <w:rFonts w:hint="eastAsia"/>
                <w:b/>
                <w:bCs/>
              </w:rPr>
              <w:t>适宜中小企业提供</w:t>
            </w:r>
          </w:p>
        </w:tc>
        <w:tc>
          <w:tcPr>
            <w:tcW w:w="4308" w:type="pct"/>
            <w:tcBorders>
              <w:top w:val="single" w:color="auto" w:sz="4" w:space="0"/>
              <w:left w:val="single" w:color="auto" w:sz="4" w:space="0"/>
              <w:bottom w:val="single" w:color="auto" w:sz="4" w:space="0"/>
              <w:right w:val="single" w:color="auto" w:sz="4" w:space="0"/>
            </w:tcBorders>
            <w:vAlign w:val="center"/>
          </w:tcPr>
          <w:p w14:paraId="4F61F61D">
            <w:pPr>
              <w:pStyle w:val="9"/>
              <w:rPr>
                <w:sz w:val="20"/>
                <w:szCs w:val="20"/>
              </w:rPr>
            </w:pPr>
            <w:r>
              <w:rPr>
                <w:rFonts w:hint="eastAsia"/>
                <w:sz w:val="20"/>
                <w:szCs w:val="20"/>
              </w:rPr>
              <w:t>采购清单要求/备注栏中注明“适宜中小企业提供”的标的，应当按照竞争性磋商文件要求全部或部分由联合体提供或进行合同分包。</w:t>
            </w:r>
          </w:p>
        </w:tc>
      </w:tr>
      <w:tr w14:paraId="6FB43EB0">
        <w:tblPrEx>
          <w:tblCellMar>
            <w:top w:w="0" w:type="dxa"/>
            <w:left w:w="108" w:type="dxa"/>
            <w:bottom w:w="0" w:type="dxa"/>
            <w:right w:w="108" w:type="dxa"/>
          </w:tblCellMar>
        </w:tblPrEx>
        <w:trPr>
          <w:trHeight w:val="548" w:hRule="atLeast"/>
          <w:jc w:val="center"/>
        </w:trPr>
        <w:tc>
          <w:tcPr>
            <w:tcW w:w="691" w:type="pct"/>
            <w:tcBorders>
              <w:top w:val="single" w:color="auto" w:sz="4" w:space="0"/>
              <w:left w:val="single" w:color="auto" w:sz="4" w:space="0"/>
              <w:bottom w:val="single" w:color="auto" w:sz="4" w:space="0"/>
              <w:right w:val="single" w:color="auto" w:sz="4" w:space="0"/>
            </w:tcBorders>
            <w:vAlign w:val="center"/>
          </w:tcPr>
          <w:p w14:paraId="310BE4FE">
            <w:pPr>
              <w:pStyle w:val="9"/>
              <w:rPr>
                <w:b/>
                <w:bCs/>
              </w:rPr>
            </w:pPr>
            <w:r>
              <w:rPr>
                <w:rFonts w:hint="eastAsia"/>
                <w:b/>
                <w:bCs/>
              </w:rPr>
              <w:t>合同分包</w:t>
            </w:r>
          </w:p>
        </w:tc>
        <w:tc>
          <w:tcPr>
            <w:tcW w:w="4308" w:type="pct"/>
            <w:tcBorders>
              <w:top w:val="single" w:color="auto" w:sz="4" w:space="0"/>
              <w:left w:val="single" w:color="auto" w:sz="4" w:space="0"/>
              <w:bottom w:val="single" w:color="auto" w:sz="4" w:space="0"/>
              <w:right w:val="single" w:color="auto" w:sz="4" w:space="0"/>
            </w:tcBorders>
            <w:vAlign w:val="center"/>
          </w:tcPr>
          <w:p w14:paraId="305CB5B9">
            <w:pPr>
              <w:pStyle w:val="9"/>
              <w:rPr>
                <w:sz w:val="20"/>
                <w:szCs w:val="20"/>
              </w:rPr>
            </w:pPr>
            <w:r>
              <w:rPr>
                <w:rFonts w:hint="eastAsia"/>
                <w:sz w:val="20"/>
                <w:szCs w:val="20"/>
              </w:rPr>
              <w:t>采购清单要求/备注栏中未注明“允许分包”的标的，不得合同分包。</w:t>
            </w:r>
          </w:p>
        </w:tc>
      </w:tr>
    </w:tbl>
    <w:p w14:paraId="70D5E6E3">
      <w:pPr>
        <w:rPr>
          <w:b/>
          <w:bCs/>
        </w:rPr>
      </w:pPr>
    </w:p>
    <w:p w14:paraId="59078388">
      <w:pPr>
        <w:rPr>
          <w:b/>
          <w:bCs/>
        </w:rPr>
      </w:pPr>
      <w:r>
        <w:rPr>
          <w:rFonts w:hint="eastAsia"/>
          <w:b/>
          <w:bCs/>
        </w:rPr>
        <w:t>其他要求：</w:t>
      </w:r>
    </w:p>
    <w:tbl>
      <w:tblPr>
        <w:tblStyle w:val="5"/>
        <w:tblW w:w="5139" w:type="pct"/>
        <w:jc w:val="center"/>
        <w:tblLayout w:type="autofit"/>
        <w:tblCellMar>
          <w:top w:w="0" w:type="dxa"/>
          <w:left w:w="108" w:type="dxa"/>
          <w:bottom w:w="0" w:type="dxa"/>
          <w:right w:w="108" w:type="dxa"/>
        </w:tblCellMar>
      </w:tblPr>
      <w:tblGrid>
        <w:gridCol w:w="1980"/>
        <w:gridCol w:w="6779"/>
      </w:tblGrid>
      <w:tr w14:paraId="5A3E5D94">
        <w:tblPrEx>
          <w:tblCellMar>
            <w:top w:w="0" w:type="dxa"/>
            <w:left w:w="108" w:type="dxa"/>
            <w:bottom w:w="0" w:type="dxa"/>
            <w:right w:w="108" w:type="dxa"/>
          </w:tblCellMar>
        </w:tblPrEx>
        <w:trPr>
          <w:trHeight w:val="699" w:hRule="atLeast"/>
          <w:jc w:val="center"/>
        </w:trPr>
        <w:tc>
          <w:tcPr>
            <w:tcW w:w="1130" w:type="pct"/>
            <w:tcBorders>
              <w:top w:val="single" w:color="auto" w:sz="4" w:space="0"/>
              <w:left w:val="single" w:color="auto" w:sz="4" w:space="0"/>
              <w:bottom w:val="single" w:color="auto" w:sz="4" w:space="0"/>
              <w:right w:val="single" w:color="auto" w:sz="4" w:space="0"/>
            </w:tcBorders>
            <w:vAlign w:val="center"/>
          </w:tcPr>
          <w:p w14:paraId="38E8D1DF">
            <w:pPr>
              <w:pStyle w:val="9"/>
              <w:jc w:val="center"/>
              <w:rPr>
                <w:b/>
                <w:bCs/>
                <w:highlight w:val="none"/>
              </w:rPr>
            </w:pPr>
            <w:r>
              <w:rPr>
                <w:rFonts w:hint="eastAsia"/>
                <w:b/>
                <w:bCs/>
                <w:highlight w:val="none"/>
              </w:rPr>
              <w:t>交货期</w:t>
            </w:r>
          </w:p>
        </w:tc>
        <w:tc>
          <w:tcPr>
            <w:tcW w:w="3869" w:type="pct"/>
            <w:tcBorders>
              <w:top w:val="single" w:color="auto" w:sz="4" w:space="0"/>
              <w:left w:val="single" w:color="auto" w:sz="4" w:space="0"/>
              <w:bottom w:val="single" w:color="auto" w:sz="4" w:space="0"/>
              <w:right w:val="single" w:color="auto" w:sz="4" w:space="0"/>
            </w:tcBorders>
            <w:vAlign w:val="center"/>
          </w:tcPr>
          <w:p w14:paraId="56C838F8">
            <w:pPr>
              <w:pStyle w:val="9"/>
              <w:rPr>
                <w:highlight w:val="none"/>
              </w:rPr>
            </w:pPr>
            <w:r>
              <w:rPr>
                <w:rFonts w:hint="eastAsia"/>
                <w:highlight w:val="none"/>
              </w:rPr>
              <w:t>合同签订之日起</w:t>
            </w:r>
            <w:r>
              <w:rPr>
                <w:rFonts w:hint="eastAsia"/>
                <w:highlight w:val="none"/>
                <w:u w:val="single"/>
              </w:rPr>
              <w:t xml:space="preserve"> </w:t>
            </w:r>
            <w:r>
              <w:rPr>
                <w:rFonts w:hint="eastAsia"/>
                <w:highlight w:val="none"/>
                <w:u w:val="single"/>
                <w:lang w:val="en-US" w:eastAsia="zh-CN"/>
              </w:rPr>
              <w:t>7</w:t>
            </w:r>
            <w:r>
              <w:rPr>
                <w:rFonts w:hint="eastAsia"/>
                <w:highlight w:val="none"/>
                <w:u w:val="single"/>
              </w:rPr>
              <w:t xml:space="preserve"> </w:t>
            </w:r>
            <w:r>
              <w:rPr>
                <w:rFonts w:hint="eastAsia"/>
                <w:highlight w:val="none"/>
              </w:rPr>
              <w:t>个日历天</w:t>
            </w:r>
            <w:bookmarkStart w:id="20" w:name="_GoBack"/>
            <w:bookmarkEnd w:id="20"/>
          </w:p>
        </w:tc>
      </w:tr>
      <w:tr w14:paraId="536D0816">
        <w:tblPrEx>
          <w:tblCellMar>
            <w:top w:w="0" w:type="dxa"/>
            <w:left w:w="108" w:type="dxa"/>
            <w:bottom w:w="0" w:type="dxa"/>
            <w:right w:w="108" w:type="dxa"/>
          </w:tblCellMar>
        </w:tblPrEx>
        <w:trPr>
          <w:trHeight w:val="633" w:hRule="atLeast"/>
          <w:jc w:val="center"/>
        </w:trPr>
        <w:tc>
          <w:tcPr>
            <w:tcW w:w="1130" w:type="pct"/>
            <w:tcBorders>
              <w:top w:val="single" w:color="auto" w:sz="4" w:space="0"/>
              <w:left w:val="single" w:color="auto" w:sz="4" w:space="0"/>
              <w:bottom w:val="single" w:color="auto" w:sz="4" w:space="0"/>
              <w:right w:val="single" w:color="auto" w:sz="4" w:space="0"/>
            </w:tcBorders>
            <w:vAlign w:val="center"/>
          </w:tcPr>
          <w:p w14:paraId="2598EEA7">
            <w:pPr>
              <w:pStyle w:val="9"/>
              <w:jc w:val="center"/>
              <w:rPr>
                <w:b/>
                <w:bCs/>
                <w:highlight w:val="none"/>
              </w:rPr>
            </w:pPr>
            <w:r>
              <w:rPr>
                <w:rFonts w:hint="eastAsia"/>
                <w:b/>
                <w:bCs/>
                <w:highlight w:val="none"/>
              </w:rPr>
              <w:t>质保期/</w:t>
            </w:r>
          </w:p>
          <w:p w14:paraId="7708481E">
            <w:pPr>
              <w:pStyle w:val="9"/>
              <w:jc w:val="center"/>
              <w:rPr>
                <w:b/>
                <w:bCs/>
                <w:highlight w:val="none"/>
              </w:rPr>
            </w:pPr>
            <w:r>
              <w:rPr>
                <w:rFonts w:hint="eastAsia"/>
                <w:b/>
                <w:bCs/>
                <w:highlight w:val="none"/>
              </w:rPr>
              <w:t>服务期</w:t>
            </w:r>
          </w:p>
        </w:tc>
        <w:tc>
          <w:tcPr>
            <w:tcW w:w="3869" w:type="pct"/>
            <w:tcBorders>
              <w:top w:val="single" w:color="auto" w:sz="4" w:space="0"/>
              <w:left w:val="single" w:color="auto" w:sz="4" w:space="0"/>
              <w:bottom w:val="single" w:color="auto" w:sz="4" w:space="0"/>
              <w:right w:val="single" w:color="auto" w:sz="4" w:space="0"/>
            </w:tcBorders>
            <w:vAlign w:val="center"/>
          </w:tcPr>
          <w:p w14:paraId="13C3A3BB">
            <w:pPr>
              <w:pStyle w:val="9"/>
              <w:rPr>
                <w:highlight w:val="none"/>
              </w:rPr>
            </w:pPr>
            <w:r>
              <w:rPr>
                <w:rFonts w:hint="eastAsia"/>
                <w:highlight w:val="none"/>
              </w:rPr>
              <w:t>采购人验收合格之日起</w:t>
            </w:r>
            <w:r>
              <w:rPr>
                <w:rFonts w:hint="eastAsia"/>
                <w:highlight w:val="none"/>
                <w:u w:val="single"/>
              </w:rPr>
              <w:t xml:space="preserve"> </w:t>
            </w:r>
            <w:r>
              <w:rPr>
                <w:rFonts w:hint="eastAsia"/>
                <w:highlight w:val="none"/>
                <w:u w:val="single"/>
                <w:lang w:val="en-US" w:eastAsia="zh-CN"/>
              </w:rPr>
              <w:t xml:space="preserve"> 1</w:t>
            </w:r>
            <w:r>
              <w:rPr>
                <w:rFonts w:hint="eastAsia"/>
                <w:highlight w:val="none"/>
                <w:u w:val="single"/>
              </w:rPr>
              <w:t xml:space="preserve"> </w:t>
            </w:r>
            <w:r>
              <w:rPr>
                <w:rFonts w:hint="eastAsia"/>
                <w:highlight w:val="none"/>
                <w:u w:val="single"/>
                <w:lang w:val="en-US" w:eastAsia="zh-CN"/>
              </w:rPr>
              <w:t xml:space="preserve"> </w:t>
            </w:r>
            <w:r>
              <w:rPr>
                <w:rFonts w:hint="eastAsia"/>
                <w:highlight w:val="none"/>
              </w:rPr>
              <w:t>年</w:t>
            </w:r>
          </w:p>
        </w:tc>
      </w:tr>
    </w:tbl>
    <w:p w14:paraId="18DC14F4">
      <w:pPr>
        <w:pStyle w:val="3"/>
        <w:numPr>
          <w:ilvl w:val="0"/>
          <w:numId w:val="0"/>
        </w:numPr>
        <w:ind w:leftChars="0"/>
      </w:pPr>
      <w:bookmarkStart w:id="16" w:name="_Toc163493626"/>
      <w:bookmarkStart w:id="17" w:name="_Toc156490322"/>
      <w:r>
        <w:rPr>
          <w:rFonts w:hint="eastAsia"/>
          <w:lang w:val="en-US" w:eastAsia="zh-CN"/>
        </w:rPr>
        <w:t>三、</w:t>
      </w:r>
      <w:r>
        <w:rPr>
          <w:rFonts w:hint="eastAsia"/>
        </w:rPr>
        <w:t>项目概述</w:t>
      </w:r>
      <w:bookmarkEnd w:id="16"/>
      <w:bookmarkEnd w:id="17"/>
    </w:p>
    <w:p w14:paraId="4E1C89C4">
      <w:pPr>
        <w:ind w:firstLine="420"/>
        <w:rPr>
          <w:rFonts w:hint="eastAsia" w:ascii="宋体" w:hAnsi="宋体" w:eastAsia="宋体" w:cstheme="minorBidi"/>
          <w:kern w:val="2"/>
          <w:sz w:val="24"/>
          <w:szCs w:val="22"/>
          <w:lang w:val="en-US" w:eastAsia="zh-CN" w:bidi="ar-SA"/>
        </w:rPr>
      </w:pPr>
      <w:r>
        <w:rPr>
          <w:rFonts w:hint="eastAsia" w:ascii="宋体" w:hAnsi="宋体" w:eastAsia="宋体" w:cstheme="minorBidi"/>
          <w:kern w:val="2"/>
          <w:sz w:val="24"/>
          <w:szCs w:val="22"/>
          <w:lang w:val="zh-CN" w:eastAsia="zh-CN" w:bidi="ar-SA"/>
        </w:rPr>
        <w:t>采购标的需实现的功能或者目标，以及为落实政府采购政策需满足的要求。</w:t>
      </w:r>
    </w:p>
    <w:p w14:paraId="37DDF5BA">
      <w:pPr>
        <w:pStyle w:val="3"/>
        <w:numPr>
          <w:ilvl w:val="0"/>
          <w:numId w:val="0"/>
        </w:numPr>
        <w:ind w:leftChars="0"/>
      </w:pPr>
      <w:bookmarkStart w:id="18" w:name="_Toc163493627"/>
      <w:bookmarkStart w:id="19" w:name="_Toc156490323"/>
      <w:r>
        <w:rPr>
          <w:rFonts w:hint="eastAsia"/>
          <w:lang w:val="en-US" w:eastAsia="zh-CN"/>
        </w:rPr>
        <w:t>四、</w:t>
      </w:r>
      <w:r>
        <w:rPr>
          <w:rFonts w:hint="eastAsia"/>
        </w:rPr>
        <w:t>执行的相关标准、规范</w:t>
      </w:r>
      <w:bookmarkEnd w:id="18"/>
      <w:bookmarkEnd w:id="19"/>
    </w:p>
    <w:p w14:paraId="692905C0">
      <w:pPr>
        <w:pStyle w:val="10"/>
        <w:ind w:firstLine="0" w:firstLineChars="0"/>
      </w:pPr>
      <w:r>
        <w:rPr>
          <w:rFonts w:hint="eastAsia"/>
        </w:rPr>
        <w:t>采购内容需执行的国家相关标准、行业标准、地方标准或者其他标准、规范。</w:t>
      </w:r>
    </w:p>
    <w:p w14:paraId="35B9458F">
      <w:pPr>
        <w:rPr>
          <w:rFonts w:hint="eastAsia" w:cs="宋体" w:asciiTheme="majorEastAsia" w:hAnsiTheme="majorEastAsia" w:eastAsiaTheme="majorEastAsia"/>
          <w:color w:val="000000"/>
          <w:kern w:val="0"/>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137150"/>
    <w:multiLevelType w:val="singleLevel"/>
    <w:tmpl w:val="86137150"/>
    <w:lvl w:ilvl="0" w:tentative="0">
      <w:start w:val="1"/>
      <w:numFmt w:val="chineseCounting"/>
      <w:suff w:val="nothing"/>
      <w:lvlText w:val="%1、"/>
      <w:lvlJc w:val="left"/>
      <w:rPr>
        <w:rFonts w:hint="eastAsia"/>
      </w:rPr>
    </w:lvl>
  </w:abstractNum>
  <w:abstractNum w:abstractNumId="1">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abstractNum w:abstractNumId="2">
    <w:nsid w:val="447B6378"/>
    <w:multiLevelType w:val="multilevel"/>
    <w:tmpl w:val="447B6378"/>
    <w:lvl w:ilvl="0" w:tentative="0">
      <w:start w:val="1"/>
      <w:numFmt w:val="decimal"/>
      <w:pStyle w:val="11"/>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lvlOverride w:ilvl="0">
      <w:startOverride w:val="1"/>
    </w:lvlOverride>
  </w:num>
  <w:num w:numId="4">
    <w:abstractNumId w:val="1"/>
    <w:lvlOverride w:ilvl="0">
      <w:startOverride w:val="1"/>
    </w:lvlOverride>
  </w:num>
  <w:num w:numId="5">
    <w:abstractNumId w:val="1"/>
    <w:lvlOverride w:ilvl="0">
      <w:startOverride w:val="1"/>
    </w:lvlOverride>
  </w:num>
  <w:num w:numId="6">
    <w:abstractNumId w:val="1"/>
    <w:lvlOverride w:ilvl="0">
      <w:startOverride w:val="1"/>
    </w:lvlOverride>
  </w:num>
  <w:num w:numId="7">
    <w:abstractNumId w:val="1"/>
    <w:lvlOverride w:ilvl="0">
      <w:startOverride w:val="1"/>
    </w:lvlOverride>
  </w:num>
  <w:num w:numId="8">
    <w:abstractNumId w:val="1"/>
    <w:lvlOverride w:ilvl="0">
      <w:startOverride w:val="1"/>
    </w:lvlOverride>
  </w:num>
  <w:num w:numId="9">
    <w:abstractNumId w:val="1"/>
    <w:lvlOverride w:ilvl="0">
      <w:startOverride w:val="1"/>
    </w:lvlOverride>
  </w:num>
  <w:num w:numId="10">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D447E8"/>
    <w:rsid w:val="1B8B7181"/>
    <w:rsid w:val="211514D5"/>
    <w:rsid w:val="26355556"/>
    <w:rsid w:val="34180991"/>
    <w:rsid w:val="3D4F4CF8"/>
    <w:rsid w:val="41870383"/>
    <w:rsid w:val="46C422B2"/>
    <w:rsid w:val="56C87B9D"/>
    <w:rsid w:val="5C451348"/>
    <w:rsid w:val="6E622A31"/>
    <w:rsid w:val="70D447E8"/>
    <w:rsid w:val="787A40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8"/>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widowControl w:val="0"/>
      <w:suppressLineNumbers w:val="0"/>
      <w:spacing w:before="0" w:beforeAutospacing="0" w:after="0" w:afterAutospacing="0" w:line="576" w:lineRule="auto"/>
      <w:ind w:left="0" w:right="0"/>
      <w:jc w:val="both"/>
      <w:outlineLvl w:val="0"/>
    </w:pPr>
    <w:rPr>
      <w:rFonts w:hint="default" w:ascii="Calibri" w:hAnsi="Calibri" w:eastAsia="宋体" w:cs="Times New Roman"/>
      <w:b/>
      <w:kern w:val="44"/>
      <w:sz w:val="44"/>
      <w:szCs w:val="44"/>
      <w:lang w:val="en-US" w:eastAsia="zh-CN" w:bidi="ar"/>
    </w:rPr>
  </w:style>
  <w:style w:type="paragraph" w:styleId="3">
    <w:name w:val="heading 2"/>
    <w:basedOn w:val="1"/>
    <w:next w:val="1"/>
    <w:unhideWhenUsed/>
    <w:qFormat/>
    <w:uiPriority w:val="0"/>
    <w:pPr>
      <w:keepNext/>
      <w:keepLines/>
      <w:spacing w:before="260" w:after="260" w:line="416" w:lineRule="auto"/>
      <w:outlineLvl w:val="1"/>
    </w:pPr>
    <w:rPr>
      <w:rFonts w:ascii="Calibri Light" w:hAnsi="Calibri Light" w:eastAsia="黑体" w:cs="Times New Roman"/>
      <w:b/>
      <w:bCs/>
      <w:sz w:val="32"/>
      <w:szCs w:val="32"/>
    </w:rPr>
  </w:style>
  <w:style w:type="paragraph" w:styleId="4">
    <w:name w:val="heading 3"/>
    <w:basedOn w:val="1"/>
    <w:next w:val="1"/>
    <w:unhideWhenUsed/>
    <w:qFormat/>
    <w:uiPriority w:val="9"/>
    <w:pPr>
      <w:keepNext/>
      <w:keepLines/>
      <w:spacing w:before="260" w:after="260" w:line="416" w:lineRule="auto"/>
      <w:outlineLvl w:val="2"/>
    </w:pPr>
    <w:rPr>
      <w:b/>
      <w:bCs/>
      <w:sz w:val="30"/>
      <w:szCs w:val="32"/>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NormalCharacter"/>
    <w:link w:val="1"/>
    <w:autoRedefine/>
    <w:qFormat/>
    <w:uiPriority w:val="0"/>
    <w:rPr>
      <w:rFonts w:ascii="Calibri" w:hAnsi="Calibri" w:eastAsia="宋体" w:cs="Times New Roman"/>
      <w:kern w:val="2"/>
      <w:sz w:val="21"/>
      <w:szCs w:val="24"/>
      <w:lang w:val="en-US" w:eastAsia="zh-CN" w:bidi="ar-SA"/>
    </w:rPr>
  </w:style>
  <w:style w:type="paragraph" w:styleId="9">
    <w:name w:val="No Spacing"/>
    <w:qFormat/>
    <w:uiPriority w:val="1"/>
    <w:pPr>
      <w:widowControl w:val="0"/>
    </w:pPr>
    <w:rPr>
      <w:rFonts w:ascii="宋体" w:hAnsi="宋体" w:eastAsia="宋体" w:cstheme="minorBidi"/>
      <w:kern w:val="2"/>
      <w:sz w:val="24"/>
      <w:szCs w:val="22"/>
      <w:lang w:val="en-US" w:eastAsia="zh-CN" w:bidi="ar-SA"/>
    </w:rPr>
  </w:style>
  <w:style w:type="paragraph" w:customStyle="1" w:styleId="10">
    <w:name w:val="正文缩进2"/>
    <w:basedOn w:val="1"/>
    <w:qFormat/>
    <w:uiPriority w:val="0"/>
    <w:pPr>
      <w:wordWrap w:val="0"/>
      <w:ind w:firstLine="480"/>
    </w:pPr>
    <w:rPr>
      <w:iCs/>
      <w:shd w:val="clear" w:color="auto" w:fill="FFFFFF" w:themeFill="background1"/>
      <w:lang w:val="zh-CN"/>
    </w:rPr>
  </w:style>
  <w:style w:type="paragraph" w:styleId="11">
    <w:name w:val="List Paragraph"/>
    <w:basedOn w:val="1"/>
    <w:autoRedefine/>
    <w:qFormat/>
    <w:uiPriority w:val="34"/>
    <w:pPr>
      <w:numPr>
        <w:ilvl w:val="0"/>
        <w:numId w:val="1"/>
      </w:numPr>
    </w:pPr>
  </w:style>
  <w:style w:type="paragraph" w:customStyle="1" w:styleId="12">
    <w:name w:val="_Style 13"/>
    <w:qFormat/>
    <w:uiPriority w:val="0"/>
    <w:pPr>
      <w:spacing w:before="120" w:after="120" w:line="288" w:lineRule="auto"/>
      <w:ind w:left="0"/>
      <w:jc w:val="left"/>
    </w:pPr>
    <w:rPr>
      <w:rFonts w:ascii="Arial" w:hAnsi="Arial" w:eastAsia="等线" w:cs="Arial"/>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2813</Words>
  <Characters>3178</Characters>
  <Lines>0</Lines>
  <Paragraphs>0</Paragraphs>
  <TotalTime>1</TotalTime>
  <ScaleCrop>false</ScaleCrop>
  <LinksUpToDate>false</LinksUpToDate>
  <CharactersWithSpaces>3259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2025-12-02T00:37:00Z</dcterms:created>
  <dc:creator>哈哈</dc:creator>
  <cp:lastModifiedBy>哈哈</cp:lastModifiedBy>
  <dcterms:modified xsi:type="dcterms:W3CDTF">2025-12-03T06:31:47Z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1DAAADB855A54DF2A82C8136634A74FF_11</vt:lpwstr>
  </property>
  <property fmtid="{D5CDD505-2E9C-101B-9397-08002B2CF9AE}" pid="4" name="KSOTemplateDocerSaveRecord">
    <vt:lpwstr>eyJoZGlkIjoiNzlhNjFhY2EzZTNhMGQxODkxYmY3NjExZjg0ZWNhNjUiLCJ1c2VySWQiOiIzODU4Nzg5MTIifQ==</vt:lpwstr>
  </property>
</Properties>
</file>